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rPr>
          <w:rFonts w:cs="Calibri"/>
          <w:kern w:val="0"/>
          <w:sz w:val="24"/>
          <w:szCs w:val="52"/>
        </w:rPr>
      </w:pPr>
      <w:bookmarkStart w:id="0" w:name="_Toc143421653"/>
      <w:bookmarkStart w:id="1" w:name="_Toc128451845"/>
      <w:bookmarkStart w:id="2" w:name="_Toc140045840"/>
    </w:p>
    <w:p>
      <w:pPr>
        <w:autoSpaceDE w:val="0"/>
        <w:autoSpaceDN w:val="0"/>
        <w:adjustRightInd w:val="0"/>
        <w:jc w:val="center"/>
        <w:rPr>
          <w:rFonts w:eastAsia="黑体" w:cs="Calibri"/>
          <w:b/>
          <w:sz w:val="44"/>
          <w:szCs w:val="44"/>
        </w:rPr>
      </w:pPr>
    </w:p>
    <w:p>
      <w:pPr>
        <w:autoSpaceDE w:val="0"/>
        <w:autoSpaceDN w:val="0"/>
        <w:adjustRightInd w:val="0"/>
        <w:jc w:val="center"/>
        <w:rPr>
          <w:rFonts w:eastAsia="黑体" w:cs="Calibri"/>
          <w:b/>
          <w:sz w:val="44"/>
          <w:szCs w:val="44"/>
        </w:rPr>
      </w:pPr>
    </w:p>
    <w:p>
      <w:pPr>
        <w:jc w:val="center"/>
        <w:rPr>
          <w:rFonts w:ascii="黑体" w:eastAsia="黑体"/>
          <w:spacing w:val="20"/>
          <w:sz w:val="72"/>
          <w:szCs w:val="72"/>
        </w:rPr>
      </w:pPr>
      <w:r>
        <w:rPr>
          <w:rFonts w:hint="eastAsia" w:ascii="方正大标宋简体" w:eastAsia="方正大标宋简体"/>
          <w:sz w:val="72"/>
          <w:szCs w:val="72"/>
        </w:rPr>
        <w:t>杭州萧山国际机场有限公司</w:t>
      </w:r>
    </w:p>
    <w:p>
      <w:pPr>
        <w:rPr>
          <w:rFonts w:ascii="Times New Roman"/>
          <w:sz w:val="24"/>
          <w:szCs w:val="24"/>
        </w:rPr>
      </w:pPr>
    </w:p>
    <w:p>
      <w:pPr>
        <w:rPr>
          <w:sz w:val="24"/>
        </w:rPr>
      </w:pPr>
    </w:p>
    <w:p>
      <w:pPr>
        <w:rPr>
          <w:sz w:val="24"/>
        </w:rPr>
      </w:pPr>
    </w:p>
    <w:p>
      <w:pPr>
        <w:rPr>
          <w:sz w:val="24"/>
        </w:rPr>
      </w:pPr>
    </w:p>
    <w:p>
      <w:pPr>
        <w:rPr>
          <w:sz w:val="24"/>
        </w:rPr>
      </w:pPr>
    </w:p>
    <w:p>
      <w:pPr>
        <w:rPr>
          <w:sz w:val="24"/>
        </w:rPr>
      </w:pPr>
    </w:p>
    <w:p>
      <w:pPr>
        <w:jc w:val="center"/>
        <w:rPr>
          <w:rFonts w:ascii="黑体" w:eastAsia="黑体"/>
          <w:sz w:val="72"/>
          <w:szCs w:val="72"/>
        </w:rPr>
      </w:pPr>
      <w:r>
        <w:rPr>
          <w:rFonts w:hint="eastAsia" w:ascii="黑体" w:eastAsia="黑体"/>
          <w:sz w:val="72"/>
          <w:szCs w:val="72"/>
        </w:rPr>
        <w:t>招 标 文 件</w:t>
      </w:r>
    </w:p>
    <w:p>
      <w:pPr>
        <w:rPr>
          <w:rFonts w:ascii="Times New Roman"/>
          <w:sz w:val="24"/>
          <w:szCs w:val="24"/>
        </w:rPr>
      </w:pPr>
    </w:p>
    <w:p>
      <w:pPr>
        <w:rPr>
          <w:sz w:val="24"/>
        </w:rPr>
      </w:pPr>
    </w:p>
    <w:p>
      <w:pPr>
        <w:rPr>
          <w:sz w:val="24"/>
        </w:rPr>
      </w:pPr>
    </w:p>
    <w:p>
      <w:pPr>
        <w:rPr>
          <w:sz w:val="24"/>
        </w:rPr>
      </w:pPr>
    </w:p>
    <w:p>
      <w:pPr>
        <w:rPr>
          <w:sz w:val="24"/>
        </w:rPr>
      </w:pPr>
    </w:p>
    <w:p>
      <w:pPr>
        <w:rPr>
          <w:sz w:val="24"/>
        </w:rPr>
      </w:pPr>
    </w:p>
    <w:p>
      <w:pPr>
        <w:spacing w:line="360" w:lineRule="auto"/>
        <w:jc w:val="center"/>
        <w:rPr>
          <w:sz w:val="36"/>
          <w:szCs w:val="30"/>
          <w:u w:val="single"/>
        </w:rPr>
      </w:pPr>
      <w:r>
        <w:rPr>
          <w:rFonts w:hint="eastAsia"/>
          <w:sz w:val="36"/>
          <w:szCs w:val="30"/>
        </w:rPr>
        <w:t>招标项目：</w:t>
      </w:r>
      <w:r>
        <w:rPr>
          <w:rFonts w:hint="eastAsia"/>
          <w:sz w:val="36"/>
          <w:szCs w:val="30"/>
          <w:u w:val="single"/>
        </w:rPr>
        <w:t>杭州萧山国际机场东区国内货站项目</w:t>
      </w:r>
    </w:p>
    <w:p>
      <w:pPr>
        <w:spacing w:line="360" w:lineRule="auto"/>
        <w:jc w:val="center"/>
        <w:rPr>
          <w:sz w:val="36"/>
          <w:szCs w:val="30"/>
          <w:u w:val="single"/>
        </w:rPr>
      </w:pPr>
      <w:r>
        <w:rPr>
          <w:rFonts w:hint="eastAsia"/>
          <w:sz w:val="36"/>
          <w:szCs w:val="30"/>
          <w:u w:val="single"/>
        </w:rPr>
        <w:t xml:space="preserve">    可行性研究报告编制</w:t>
      </w:r>
      <w:r>
        <w:rPr>
          <w:rFonts w:hint="eastAsia"/>
          <w:sz w:val="36"/>
          <w:szCs w:val="30"/>
          <w:u w:val="single"/>
          <w:lang w:eastAsia="zh-CN"/>
        </w:rPr>
        <w:t>（重新招标）</w:t>
      </w:r>
      <w:r>
        <w:rPr>
          <w:rFonts w:hint="eastAsia"/>
          <w:sz w:val="36"/>
          <w:szCs w:val="30"/>
          <w:u w:val="single"/>
        </w:rPr>
        <w:t xml:space="preserve">        </w:t>
      </w:r>
    </w:p>
    <w:p>
      <w:pPr>
        <w:pStyle w:val="21"/>
        <w:spacing w:line="480" w:lineRule="auto"/>
        <w:jc w:val="center"/>
        <w:rPr>
          <w:rFonts w:ascii="Calibri" w:hAnsi="Calibri" w:eastAsia="隶书" w:cs="Calibri"/>
          <w:sz w:val="32"/>
          <w:lang w:val="en-US"/>
        </w:rPr>
      </w:pPr>
    </w:p>
    <w:p>
      <w:pPr>
        <w:pStyle w:val="21"/>
        <w:spacing w:line="480" w:lineRule="auto"/>
        <w:rPr>
          <w:rFonts w:ascii="Calibri" w:hAnsi="Calibri" w:eastAsia="隶书" w:cs="Calibri"/>
          <w:sz w:val="32"/>
        </w:rPr>
      </w:pPr>
    </w:p>
    <w:p>
      <w:pPr>
        <w:pStyle w:val="21"/>
        <w:spacing w:line="480" w:lineRule="auto"/>
        <w:jc w:val="center"/>
        <w:rPr>
          <w:rFonts w:ascii="Calibri" w:hAnsi="Calibri" w:eastAsia="隶书" w:cs="Calibri"/>
          <w:sz w:val="32"/>
        </w:rPr>
      </w:pPr>
    </w:p>
    <w:p>
      <w:pPr>
        <w:snapToGrid w:val="0"/>
        <w:jc w:val="center"/>
        <w:rPr>
          <w:rFonts w:eastAsia="黑体" w:cs="Calibri"/>
          <w:sz w:val="32"/>
          <w:szCs w:val="32"/>
        </w:rPr>
      </w:pPr>
      <w:r>
        <w:rPr>
          <w:rFonts w:eastAsia="黑体" w:cs="Calibri"/>
          <w:sz w:val="32"/>
          <w:szCs w:val="32"/>
        </w:rPr>
        <w:t>杭州萧山国际机场有限公司</w:t>
      </w:r>
    </w:p>
    <w:p>
      <w:pPr>
        <w:rPr>
          <w:rFonts w:eastAsia="黑体" w:cs="Calibri"/>
          <w:sz w:val="32"/>
          <w:szCs w:val="32"/>
        </w:rPr>
      </w:pPr>
    </w:p>
    <w:p>
      <w:pPr>
        <w:pStyle w:val="21"/>
        <w:spacing w:line="480" w:lineRule="auto"/>
        <w:jc w:val="center"/>
        <w:rPr>
          <w:rFonts w:ascii="Calibri" w:hAnsi="Calibri" w:eastAsia="楷体_GB2312" w:cs="Calibri"/>
          <w:sz w:val="24"/>
          <w:szCs w:val="24"/>
          <w:u w:val="single"/>
        </w:rPr>
      </w:pPr>
      <w:r>
        <w:rPr>
          <w:rFonts w:hint="eastAsia" w:ascii="Calibri" w:hAnsi="Calibri" w:eastAsia="黑体" w:cs="Calibri"/>
          <w:sz w:val="32"/>
          <w:szCs w:val="32"/>
        </w:rPr>
        <w:t>二</w:t>
      </w:r>
      <w:r>
        <w:rPr>
          <w:rFonts w:hint="eastAsia" w:ascii="黑体" w:hAnsi="黑体" w:eastAsia="黑体" w:cs="Calibri"/>
          <w:sz w:val="32"/>
          <w:szCs w:val="32"/>
        </w:rPr>
        <w:t>Ο</w:t>
      </w:r>
      <w:r>
        <w:rPr>
          <w:rFonts w:hint="eastAsia" w:ascii="Calibri" w:hAnsi="Calibri" w:eastAsia="黑体" w:cs="Calibri"/>
          <w:sz w:val="32"/>
          <w:szCs w:val="32"/>
        </w:rPr>
        <w:t>一九年</w:t>
      </w:r>
      <w:r>
        <w:rPr>
          <w:rFonts w:hint="eastAsia" w:ascii="Calibri" w:hAnsi="Calibri" w:eastAsia="黑体" w:cs="Calibri"/>
          <w:sz w:val="32"/>
          <w:szCs w:val="32"/>
          <w:u w:val="single"/>
        </w:rPr>
        <w:t xml:space="preserve"> </w:t>
      </w:r>
      <w:r>
        <w:rPr>
          <w:rFonts w:hint="eastAsia" w:ascii="Calibri" w:hAnsi="Calibri" w:eastAsia="黑体" w:cs="Calibri"/>
          <w:sz w:val="32"/>
          <w:szCs w:val="32"/>
          <w:u w:val="single"/>
          <w:lang w:val="en-US" w:eastAsia="zh-CN"/>
        </w:rPr>
        <w:t>六</w:t>
      </w:r>
      <w:r>
        <w:rPr>
          <w:rFonts w:hint="eastAsia" w:ascii="Calibri" w:hAnsi="Calibri" w:eastAsia="黑体" w:cs="Calibri"/>
          <w:sz w:val="32"/>
          <w:szCs w:val="32"/>
          <w:u w:val="single"/>
        </w:rPr>
        <w:tab/>
      </w:r>
      <w:r>
        <w:rPr>
          <w:rFonts w:hint="eastAsia" w:ascii="Calibri" w:hAnsi="Calibri" w:eastAsia="黑体" w:cs="Calibri"/>
          <w:sz w:val="32"/>
          <w:szCs w:val="32"/>
          <w:u w:val="single"/>
        </w:rPr>
        <w:t xml:space="preserve"> </w:t>
      </w:r>
      <w:r>
        <w:rPr>
          <w:rFonts w:ascii="Calibri" w:hAnsi="Calibri" w:eastAsia="黑体" w:cs="Calibri"/>
          <w:sz w:val="32"/>
          <w:szCs w:val="32"/>
        </w:rPr>
        <w:t>月</w:t>
      </w:r>
    </w:p>
    <w:p>
      <w:pPr>
        <w:snapToGrid w:val="0"/>
        <w:spacing w:line="360" w:lineRule="auto"/>
        <w:jc w:val="center"/>
        <w:rPr>
          <w:rFonts w:cs="Calibri"/>
          <w:color w:val="000000"/>
          <w:sz w:val="32"/>
          <w:szCs w:val="32"/>
        </w:rPr>
      </w:pPr>
    </w:p>
    <w:p>
      <w:pPr>
        <w:pStyle w:val="30"/>
        <w:rPr>
          <w:rFonts w:ascii="Calibri" w:cs="Calibri"/>
          <w:b/>
          <w:color w:val="000000"/>
          <w:sz w:val="44"/>
        </w:rPr>
      </w:pPr>
      <w:bookmarkStart w:id="3" w:name="_Toc386363314"/>
      <w:bookmarkStart w:id="4" w:name="_Toc349007685"/>
      <w:bookmarkStart w:id="5" w:name="_Toc386359390"/>
      <w:bookmarkStart w:id="6" w:name="_Toc349011855"/>
      <w:r>
        <w:rPr>
          <w:rFonts w:hint="eastAsia" w:ascii="Calibri" w:cs="Calibri"/>
          <w:b/>
          <w:color w:val="000000"/>
          <w:sz w:val="44"/>
        </w:rPr>
        <w:t xml:space="preserve"> </w:t>
      </w:r>
    </w:p>
    <w:p>
      <w:pPr>
        <w:pStyle w:val="30"/>
        <w:rPr>
          <w:rFonts w:ascii="Calibri" w:hAnsi="Calibri" w:cs="Calibri"/>
          <w:b/>
          <w:color w:val="000000"/>
          <w:sz w:val="44"/>
        </w:rPr>
      </w:pPr>
      <w:bookmarkStart w:id="7" w:name="_Toc400369182"/>
      <w:bookmarkStart w:id="8" w:name="_Toc444173456"/>
      <w:bookmarkStart w:id="9" w:name="_Toc444174976"/>
      <w:bookmarkStart w:id="10" w:name="_Toc448002981"/>
      <w:bookmarkStart w:id="11" w:name="_Toc444811406"/>
      <w:r>
        <w:rPr>
          <w:rFonts w:ascii="Calibri" w:cs="Calibri"/>
          <w:b/>
          <w:color w:val="000000"/>
          <w:sz w:val="44"/>
        </w:rPr>
        <w:t>目</w:t>
      </w:r>
      <w:r>
        <w:rPr>
          <w:rFonts w:ascii="Calibri" w:hAnsi="Calibri" w:cs="Calibri"/>
          <w:b/>
          <w:color w:val="000000"/>
          <w:sz w:val="44"/>
        </w:rPr>
        <w:t xml:space="preserve">  </w:t>
      </w:r>
      <w:r>
        <w:rPr>
          <w:rFonts w:ascii="Calibri" w:cs="Calibri"/>
          <w:b/>
          <w:color w:val="000000"/>
          <w:sz w:val="44"/>
        </w:rPr>
        <w:t>录</w:t>
      </w:r>
      <w:bookmarkEnd w:id="3"/>
      <w:bookmarkEnd w:id="4"/>
      <w:bookmarkEnd w:id="5"/>
      <w:bookmarkEnd w:id="6"/>
      <w:bookmarkEnd w:id="7"/>
      <w:bookmarkEnd w:id="8"/>
      <w:bookmarkEnd w:id="9"/>
      <w:bookmarkEnd w:id="10"/>
      <w:bookmarkEnd w:id="11"/>
    </w:p>
    <w:p>
      <w:pPr>
        <w:pStyle w:val="30"/>
        <w:spacing w:line="480" w:lineRule="auto"/>
        <w:rPr>
          <w:rFonts w:ascii="黑体" w:hAnsi="黑体" w:eastAsia="黑体" w:cstheme="minorBidi"/>
          <w:bCs w:val="0"/>
          <w:kern w:val="2"/>
          <w:sz w:val="22"/>
          <w:szCs w:val="22"/>
        </w:rPr>
      </w:pPr>
      <w:r>
        <w:rPr>
          <w:rFonts w:hint="eastAsia" w:ascii="黑体" w:hAnsi="黑体" w:eastAsia="黑体" w:cs="Calibri"/>
          <w:color w:val="000000"/>
          <w:sz w:val="22"/>
          <w:szCs w:val="22"/>
        </w:rPr>
        <w:fldChar w:fldCharType="begin"/>
      </w:r>
      <w:r>
        <w:rPr>
          <w:rFonts w:hint="eastAsia" w:ascii="黑体" w:hAnsi="黑体" w:eastAsia="黑体" w:cs="Calibri"/>
          <w:color w:val="000000"/>
          <w:sz w:val="22"/>
          <w:szCs w:val="22"/>
        </w:rPr>
        <w:instrText xml:space="preserve"> TOC \o "1-3" \h \z \u </w:instrText>
      </w:r>
      <w:r>
        <w:rPr>
          <w:rFonts w:hint="eastAsia" w:ascii="黑体" w:hAnsi="黑体" w:eastAsia="黑体" w:cs="Calibri"/>
          <w:color w:val="000000"/>
          <w:sz w:val="22"/>
          <w:szCs w:val="22"/>
        </w:rPr>
        <w:fldChar w:fldCharType="separate"/>
      </w:r>
    </w:p>
    <w:p>
      <w:pPr>
        <w:pStyle w:val="30"/>
        <w:spacing w:line="480" w:lineRule="auto"/>
        <w:rPr>
          <w:rFonts w:ascii="黑体" w:hAnsi="黑体" w:eastAsia="黑体" w:cstheme="minorBidi"/>
          <w:bCs w:val="0"/>
          <w:kern w:val="2"/>
          <w:sz w:val="22"/>
          <w:szCs w:val="22"/>
        </w:rPr>
      </w:pPr>
      <w:r>
        <w:fldChar w:fldCharType="begin"/>
      </w:r>
      <w:r>
        <w:instrText xml:space="preserve"> HYPERLINK \l "_Toc448002982" </w:instrText>
      </w:r>
      <w:r>
        <w:fldChar w:fldCharType="separate"/>
      </w:r>
      <w:r>
        <w:rPr>
          <w:rStyle w:val="50"/>
          <w:rFonts w:hint="eastAsia" w:ascii="黑体" w:hAnsi="黑体" w:eastAsia="黑体" w:cs="Calibri"/>
          <w:sz w:val="22"/>
          <w:szCs w:val="22"/>
        </w:rPr>
        <w:t>第一章  招标公告</w:t>
      </w:r>
      <w:r>
        <w:rPr>
          <w:rFonts w:hint="eastAsia" w:ascii="黑体" w:hAnsi="黑体" w:eastAsia="黑体"/>
          <w:sz w:val="22"/>
          <w:szCs w:val="22"/>
        </w:rPr>
        <w:tab/>
      </w:r>
      <w:r>
        <w:rPr>
          <w:rFonts w:hint="eastAsia" w:ascii="黑体" w:hAnsi="黑体" w:eastAsia="黑体"/>
          <w:sz w:val="22"/>
          <w:szCs w:val="22"/>
        </w:rPr>
        <w:fldChar w:fldCharType="begin"/>
      </w:r>
      <w:r>
        <w:rPr>
          <w:rFonts w:hint="eastAsia" w:ascii="黑体" w:hAnsi="黑体" w:eastAsia="黑体"/>
          <w:sz w:val="22"/>
          <w:szCs w:val="22"/>
        </w:rPr>
        <w:instrText xml:space="preserve"> PAGEREF _Toc448002982 \h </w:instrText>
      </w:r>
      <w:r>
        <w:rPr>
          <w:rFonts w:hint="eastAsia" w:ascii="黑体" w:hAnsi="黑体" w:eastAsia="黑体"/>
          <w:sz w:val="22"/>
          <w:szCs w:val="22"/>
        </w:rPr>
        <w:fldChar w:fldCharType="separate"/>
      </w:r>
      <w:r>
        <w:rPr>
          <w:rFonts w:ascii="黑体" w:hAnsi="黑体" w:eastAsia="黑体"/>
          <w:sz w:val="22"/>
          <w:szCs w:val="22"/>
        </w:rPr>
        <w:t>- 2 -</w:t>
      </w:r>
      <w:r>
        <w:rPr>
          <w:rFonts w:hint="eastAsia" w:ascii="黑体" w:hAnsi="黑体" w:eastAsia="黑体"/>
          <w:sz w:val="22"/>
          <w:szCs w:val="22"/>
        </w:rPr>
        <w:fldChar w:fldCharType="end"/>
      </w:r>
      <w:r>
        <w:rPr>
          <w:rFonts w:hint="eastAsia" w:ascii="黑体" w:hAnsi="黑体" w:eastAsia="黑体"/>
          <w:sz w:val="22"/>
          <w:szCs w:val="22"/>
        </w:rPr>
        <w:fldChar w:fldCharType="end"/>
      </w:r>
    </w:p>
    <w:p>
      <w:pPr>
        <w:pStyle w:val="30"/>
        <w:spacing w:line="480" w:lineRule="auto"/>
        <w:rPr>
          <w:rFonts w:ascii="黑体" w:hAnsi="黑体" w:eastAsia="黑体" w:cstheme="minorBidi"/>
          <w:bCs w:val="0"/>
          <w:kern w:val="2"/>
          <w:sz w:val="22"/>
          <w:szCs w:val="22"/>
        </w:rPr>
      </w:pPr>
      <w:r>
        <w:fldChar w:fldCharType="begin"/>
      </w:r>
      <w:r>
        <w:instrText xml:space="preserve"> HYPERLINK \l "_Toc448002983" </w:instrText>
      </w:r>
      <w:r>
        <w:fldChar w:fldCharType="separate"/>
      </w:r>
      <w:r>
        <w:rPr>
          <w:rStyle w:val="50"/>
          <w:rFonts w:hint="eastAsia" w:ascii="黑体" w:hAnsi="黑体" w:eastAsia="黑体" w:cs="Calibri"/>
          <w:sz w:val="22"/>
          <w:szCs w:val="22"/>
        </w:rPr>
        <w:t>第二章  投标人须知</w:t>
      </w:r>
      <w:r>
        <w:rPr>
          <w:rFonts w:hint="eastAsia" w:ascii="黑体" w:hAnsi="黑体" w:eastAsia="黑体"/>
          <w:sz w:val="22"/>
          <w:szCs w:val="22"/>
        </w:rPr>
        <w:tab/>
      </w:r>
      <w:r>
        <w:rPr>
          <w:rFonts w:hint="eastAsia" w:ascii="黑体" w:hAnsi="黑体" w:eastAsia="黑体"/>
          <w:sz w:val="22"/>
          <w:szCs w:val="22"/>
        </w:rPr>
        <w:fldChar w:fldCharType="begin"/>
      </w:r>
      <w:r>
        <w:rPr>
          <w:rFonts w:hint="eastAsia" w:ascii="黑体" w:hAnsi="黑体" w:eastAsia="黑体"/>
          <w:sz w:val="22"/>
          <w:szCs w:val="22"/>
        </w:rPr>
        <w:instrText xml:space="preserve"> PAGEREF _Toc448002983 \h </w:instrText>
      </w:r>
      <w:r>
        <w:rPr>
          <w:rFonts w:hint="eastAsia" w:ascii="黑体" w:hAnsi="黑体" w:eastAsia="黑体"/>
          <w:sz w:val="22"/>
          <w:szCs w:val="22"/>
        </w:rPr>
        <w:fldChar w:fldCharType="separate"/>
      </w:r>
      <w:r>
        <w:rPr>
          <w:rFonts w:ascii="黑体" w:hAnsi="黑体" w:eastAsia="黑体"/>
          <w:sz w:val="22"/>
          <w:szCs w:val="22"/>
        </w:rPr>
        <w:t>- 4 -</w:t>
      </w:r>
      <w:r>
        <w:rPr>
          <w:rFonts w:hint="eastAsia" w:ascii="黑体" w:hAnsi="黑体" w:eastAsia="黑体"/>
          <w:sz w:val="22"/>
          <w:szCs w:val="22"/>
        </w:rPr>
        <w:fldChar w:fldCharType="end"/>
      </w:r>
      <w:r>
        <w:rPr>
          <w:rFonts w:hint="eastAsia" w:ascii="黑体" w:hAnsi="黑体" w:eastAsia="黑体"/>
          <w:sz w:val="22"/>
          <w:szCs w:val="22"/>
        </w:rPr>
        <w:fldChar w:fldCharType="end"/>
      </w:r>
    </w:p>
    <w:p>
      <w:pPr>
        <w:pStyle w:val="30"/>
        <w:spacing w:line="480" w:lineRule="auto"/>
        <w:rPr>
          <w:rFonts w:ascii="黑体" w:hAnsi="黑体" w:eastAsia="黑体" w:cstheme="minorBidi"/>
          <w:bCs w:val="0"/>
          <w:kern w:val="2"/>
          <w:sz w:val="22"/>
          <w:szCs w:val="22"/>
        </w:rPr>
      </w:pPr>
      <w:r>
        <w:fldChar w:fldCharType="begin"/>
      </w:r>
      <w:r>
        <w:instrText xml:space="preserve"> HYPERLINK \l "_Toc448002985" </w:instrText>
      </w:r>
      <w:r>
        <w:fldChar w:fldCharType="separate"/>
      </w:r>
      <w:r>
        <w:rPr>
          <w:rStyle w:val="50"/>
          <w:rFonts w:hint="eastAsia" w:ascii="黑体" w:hAnsi="黑体" w:eastAsia="黑体" w:cs="Calibri"/>
          <w:sz w:val="22"/>
          <w:szCs w:val="22"/>
        </w:rPr>
        <w:t>第三章  服务技术标准及要求</w:t>
      </w:r>
      <w:r>
        <w:rPr>
          <w:rFonts w:hint="eastAsia" w:ascii="黑体" w:hAnsi="黑体" w:eastAsia="黑体"/>
          <w:sz w:val="22"/>
          <w:szCs w:val="22"/>
        </w:rPr>
        <w:tab/>
      </w:r>
      <w:r>
        <w:rPr>
          <w:rFonts w:hint="eastAsia" w:ascii="黑体" w:hAnsi="黑体" w:eastAsia="黑体"/>
          <w:sz w:val="22"/>
          <w:szCs w:val="22"/>
        </w:rPr>
        <w:fldChar w:fldCharType="begin"/>
      </w:r>
      <w:r>
        <w:rPr>
          <w:rFonts w:hint="eastAsia" w:ascii="黑体" w:hAnsi="黑体" w:eastAsia="黑体"/>
          <w:sz w:val="22"/>
          <w:szCs w:val="22"/>
        </w:rPr>
        <w:instrText xml:space="preserve"> PAGEREF _Toc448002985 \h </w:instrText>
      </w:r>
      <w:r>
        <w:rPr>
          <w:rFonts w:hint="eastAsia" w:ascii="黑体" w:hAnsi="黑体" w:eastAsia="黑体"/>
          <w:sz w:val="22"/>
          <w:szCs w:val="22"/>
        </w:rPr>
        <w:fldChar w:fldCharType="separate"/>
      </w:r>
      <w:r>
        <w:rPr>
          <w:rFonts w:ascii="黑体" w:hAnsi="黑体" w:eastAsia="黑体"/>
          <w:sz w:val="22"/>
          <w:szCs w:val="22"/>
        </w:rPr>
        <w:t>- 13 -</w:t>
      </w:r>
      <w:r>
        <w:rPr>
          <w:rFonts w:hint="eastAsia" w:ascii="黑体" w:hAnsi="黑体" w:eastAsia="黑体"/>
          <w:sz w:val="22"/>
          <w:szCs w:val="22"/>
        </w:rPr>
        <w:fldChar w:fldCharType="end"/>
      </w:r>
      <w:r>
        <w:rPr>
          <w:rFonts w:hint="eastAsia" w:ascii="黑体" w:hAnsi="黑体" w:eastAsia="黑体"/>
          <w:sz w:val="22"/>
          <w:szCs w:val="22"/>
        </w:rPr>
        <w:fldChar w:fldCharType="end"/>
      </w:r>
    </w:p>
    <w:p>
      <w:pPr>
        <w:pStyle w:val="30"/>
        <w:spacing w:line="480" w:lineRule="auto"/>
        <w:rPr>
          <w:rFonts w:ascii="黑体" w:hAnsi="黑体" w:eastAsia="黑体" w:cstheme="minorBidi"/>
          <w:bCs w:val="0"/>
          <w:kern w:val="2"/>
          <w:sz w:val="22"/>
          <w:szCs w:val="22"/>
        </w:rPr>
      </w:pPr>
      <w:r>
        <w:fldChar w:fldCharType="begin"/>
      </w:r>
      <w:r>
        <w:instrText xml:space="preserve"> HYPERLINK \l "_Toc448002986" </w:instrText>
      </w:r>
      <w:r>
        <w:fldChar w:fldCharType="separate"/>
      </w:r>
      <w:r>
        <w:rPr>
          <w:rStyle w:val="50"/>
          <w:rFonts w:hint="eastAsia" w:ascii="黑体" w:hAnsi="黑体" w:eastAsia="黑体" w:cs="Calibri"/>
          <w:sz w:val="22"/>
          <w:szCs w:val="22"/>
        </w:rPr>
        <w:t>第四章  合同条款</w:t>
      </w:r>
      <w:r>
        <w:rPr>
          <w:rFonts w:hint="eastAsia" w:ascii="黑体" w:hAnsi="黑体" w:eastAsia="黑体"/>
          <w:sz w:val="22"/>
          <w:szCs w:val="22"/>
        </w:rPr>
        <w:tab/>
      </w:r>
      <w:r>
        <w:rPr>
          <w:rFonts w:hint="eastAsia" w:ascii="黑体" w:hAnsi="黑体" w:eastAsia="黑体"/>
          <w:sz w:val="22"/>
          <w:szCs w:val="22"/>
        </w:rPr>
        <w:fldChar w:fldCharType="begin"/>
      </w:r>
      <w:r>
        <w:rPr>
          <w:rFonts w:hint="eastAsia" w:ascii="黑体" w:hAnsi="黑体" w:eastAsia="黑体"/>
          <w:sz w:val="22"/>
          <w:szCs w:val="22"/>
        </w:rPr>
        <w:instrText xml:space="preserve"> PAGEREF _Toc448002986 \h </w:instrText>
      </w:r>
      <w:r>
        <w:rPr>
          <w:rFonts w:hint="eastAsia" w:ascii="黑体" w:hAnsi="黑体" w:eastAsia="黑体"/>
          <w:sz w:val="22"/>
          <w:szCs w:val="22"/>
        </w:rPr>
        <w:fldChar w:fldCharType="separate"/>
      </w:r>
      <w:r>
        <w:rPr>
          <w:rFonts w:ascii="黑体" w:hAnsi="黑体" w:eastAsia="黑体"/>
          <w:sz w:val="22"/>
          <w:szCs w:val="22"/>
        </w:rPr>
        <w:t>- 17 -</w:t>
      </w:r>
      <w:r>
        <w:rPr>
          <w:rFonts w:hint="eastAsia" w:ascii="黑体" w:hAnsi="黑体" w:eastAsia="黑体"/>
          <w:sz w:val="22"/>
          <w:szCs w:val="22"/>
        </w:rPr>
        <w:fldChar w:fldCharType="end"/>
      </w:r>
      <w:r>
        <w:rPr>
          <w:rFonts w:hint="eastAsia" w:ascii="黑体" w:hAnsi="黑体" w:eastAsia="黑体"/>
          <w:sz w:val="22"/>
          <w:szCs w:val="22"/>
        </w:rPr>
        <w:fldChar w:fldCharType="end"/>
      </w:r>
    </w:p>
    <w:p>
      <w:pPr>
        <w:pStyle w:val="30"/>
        <w:spacing w:line="480" w:lineRule="auto"/>
        <w:rPr>
          <w:rFonts w:ascii="黑体" w:hAnsi="黑体" w:eastAsia="黑体" w:cstheme="minorBidi"/>
          <w:bCs w:val="0"/>
          <w:kern w:val="2"/>
          <w:sz w:val="22"/>
          <w:szCs w:val="22"/>
        </w:rPr>
      </w:pPr>
      <w:r>
        <w:fldChar w:fldCharType="begin"/>
      </w:r>
      <w:r>
        <w:instrText xml:space="preserve"> HYPERLINK \l "_Toc448002987" </w:instrText>
      </w:r>
      <w:r>
        <w:fldChar w:fldCharType="separate"/>
      </w:r>
      <w:r>
        <w:rPr>
          <w:rStyle w:val="50"/>
          <w:rFonts w:hint="eastAsia" w:ascii="黑体" w:hAnsi="黑体" w:eastAsia="黑体" w:cs="Calibri"/>
          <w:sz w:val="22"/>
          <w:szCs w:val="22"/>
        </w:rPr>
        <w:t>第五章  评标方法及标准</w:t>
      </w:r>
      <w:r>
        <w:rPr>
          <w:rFonts w:hint="eastAsia" w:ascii="黑体" w:hAnsi="黑体" w:eastAsia="黑体"/>
          <w:sz w:val="22"/>
          <w:szCs w:val="22"/>
        </w:rPr>
        <w:tab/>
      </w:r>
      <w:r>
        <w:rPr>
          <w:rFonts w:hint="eastAsia" w:ascii="黑体" w:hAnsi="黑体" w:eastAsia="黑体"/>
          <w:sz w:val="22"/>
          <w:szCs w:val="22"/>
        </w:rPr>
        <w:fldChar w:fldCharType="begin"/>
      </w:r>
      <w:r>
        <w:rPr>
          <w:rFonts w:hint="eastAsia" w:ascii="黑体" w:hAnsi="黑体" w:eastAsia="黑体"/>
          <w:sz w:val="22"/>
          <w:szCs w:val="22"/>
        </w:rPr>
        <w:instrText xml:space="preserve"> PAGEREF _Toc448002987 \h </w:instrText>
      </w:r>
      <w:r>
        <w:rPr>
          <w:rFonts w:hint="eastAsia" w:ascii="黑体" w:hAnsi="黑体" w:eastAsia="黑体"/>
          <w:sz w:val="22"/>
          <w:szCs w:val="22"/>
        </w:rPr>
        <w:fldChar w:fldCharType="separate"/>
      </w:r>
      <w:r>
        <w:rPr>
          <w:rFonts w:ascii="黑体" w:hAnsi="黑体" w:eastAsia="黑体"/>
          <w:sz w:val="22"/>
          <w:szCs w:val="22"/>
        </w:rPr>
        <w:t>- 22 -</w:t>
      </w:r>
      <w:r>
        <w:rPr>
          <w:rFonts w:hint="eastAsia" w:ascii="黑体" w:hAnsi="黑体" w:eastAsia="黑体"/>
          <w:sz w:val="22"/>
          <w:szCs w:val="22"/>
        </w:rPr>
        <w:fldChar w:fldCharType="end"/>
      </w:r>
      <w:r>
        <w:rPr>
          <w:rFonts w:hint="eastAsia" w:ascii="黑体" w:hAnsi="黑体" w:eastAsia="黑体"/>
          <w:sz w:val="22"/>
          <w:szCs w:val="22"/>
        </w:rPr>
        <w:fldChar w:fldCharType="end"/>
      </w:r>
    </w:p>
    <w:p>
      <w:pPr>
        <w:pStyle w:val="30"/>
        <w:spacing w:line="480" w:lineRule="auto"/>
        <w:rPr>
          <w:rFonts w:ascii="黑体" w:hAnsi="黑体" w:eastAsia="黑体" w:cstheme="minorBidi"/>
          <w:bCs w:val="0"/>
          <w:kern w:val="2"/>
          <w:sz w:val="22"/>
          <w:szCs w:val="22"/>
        </w:rPr>
      </w:pPr>
      <w:r>
        <w:fldChar w:fldCharType="begin"/>
      </w:r>
      <w:r>
        <w:instrText xml:space="preserve"> HYPERLINK \l "_Toc448002988" </w:instrText>
      </w:r>
      <w:r>
        <w:fldChar w:fldCharType="separate"/>
      </w:r>
      <w:r>
        <w:rPr>
          <w:rStyle w:val="50"/>
          <w:rFonts w:hint="eastAsia" w:ascii="黑体" w:hAnsi="黑体" w:eastAsia="黑体" w:cs="Calibri"/>
          <w:sz w:val="22"/>
          <w:szCs w:val="22"/>
        </w:rPr>
        <w:t>第五章  投标文件格式</w:t>
      </w:r>
      <w:r>
        <w:rPr>
          <w:rFonts w:hint="eastAsia" w:ascii="黑体" w:hAnsi="黑体" w:eastAsia="黑体"/>
          <w:sz w:val="22"/>
          <w:szCs w:val="22"/>
        </w:rPr>
        <w:tab/>
      </w:r>
      <w:r>
        <w:rPr>
          <w:rFonts w:hint="eastAsia" w:ascii="黑体" w:hAnsi="黑体" w:eastAsia="黑体"/>
          <w:sz w:val="22"/>
          <w:szCs w:val="22"/>
        </w:rPr>
        <w:fldChar w:fldCharType="begin"/>
      </w:r>
      <w:r>
        <w:rPr>
          <w:rFonts w:hint="eastAsia" w:ascii="黑体" w:hAnsi="黑体" w:eastAsia="黑体"/>
          <w:sz w:val="22"/>
          <w:szCs w:val="22"/>
        </w:rPr>
        <w:instrText xml:space="preserve"> PAGEREF _Toc448002988 \h </w:instrText>
      </w:r>
      <w:r>
        <w:rPr>
          <w:rFonts w:hint="eastAsia" w:ascii="黑体" w:hAnsi="黑体" w:eastAsia="黑体"/>
          <w:sz w:val="22"/>
          <w:szCs w:val="22"/>
        </w:rPr>
        <w:fldChar w:fldCharType="separate"/>
      </w:r>
      <w:r>
        <w:rPr>
          <w:rFonts w:ascii="黑体" w:hAnsi="黑体" w:eastAsia="黑体"/>
          <w:sz w:val="22"/>
          <w:szCs w:val="22"/>
        </w:rPr>
        <w:t>- 26 -</w:t>
      </w:r>
      <w:r>
        <w:rPr>
          <w:rFonts w:hint="eastAsia" w:ascii="黑体" w:hAnsi="黑体" w:eastAsia="黑体"/>
          <w:sz w:val="22"/>
          <w:szCs w:val="22"/>
        </w:rPr>
        <w:fldChar w:fldCharType="end"/>
      </w:r>
      <w:r>
        <w:rPr>
          <w:rFonts w:hint="eastAsia" w:ascii="黑体" w:hAnsi="黑体" w:eastAsia="黑体"/>
          <w:sz w:val="22"/>
          <w:szCs w:val="22"/>
        </w:rPr>
        <w:fldChar w:fldCharType="end"/>
      </w:r>
    </w:p>
    <w:p>
      <w:pPr>
        <w:spacing w:line="480" w:lineRule="auto"/>
        <w:jc w:val="center"/>
        <w:rPr>
          <w:rFonts w:cs="Calibri"/>
          <w:color w:val="000000"/>
          <w:sz w:val="24"/>
        </w:rPr>
      </w:pPr>
      <w:r>
        <w:rPr>
          <w:rFonts w:hint="eastAsia" w:ascii="黑体" w:hAnsi="黑体" w:eastAsia="黑体" w:cs="Calibri"/>
          <w:color w:val="000000"/>
          <w:sz w:val="22"/>
        </w:rPr>
        <w:fldChar w:fldCharType="end"/>
      </w:r>
    </w:p>
    <w:p>
      <w:pPr>
        <w:spacing w:line="440" w:lineRule="exact"/>
        <w:ind w:right="480"/>
        <w:rPr>
          <w:rFonts w:cs="Calibri"/>
          <w:color w:val="000000"/>
          <w:sz w:val="24"/>
        </w:rPr>
      </w:pPr>
    </w:p>
    <w:p>
      <w:pPr>
        <w:pStyle w:val="2"/>
        <w:spacing w:before="0" w:after="0" w:line="360" w:lineRule="auto"/>
        <w:jc w:val="center"/>
        <w:rPr>
          <w:rFonts w:ascii="Calibri" w:eastAsia="黑体" w:cs="Calibri"/>
          <w:kern w:val="0"/>
          <w:sz w:val="32"/>
        </w:rPr>
      </w:pPr>
      <w:r>
        <w:rPr>
          <w:rFonts w:ascii="Calibri" w:hAnsi="Calibri" w:cs="Calibri"/>
          <w:color w:val="000000"/>
        </w:rPr>
        <w:br w:type="page"/>
      </w:r>
      <w:bookmarkStart w:id="12" w:name="_Toc24784"/>
      <w:bookmarkStart w:id="13" w:name="_Toc6581"/>
      <w:bookmarkStart w:id="14" w:name="_Toc7641"/>
      <w:bookmarkStart w:id="15" w:name="_Toc22293"/>
      <w:bookmarkStart w:id="16" w:name="_Toc6832"/>
      <w:bookmarkStart w:id="17" w:name="_Toc24932"/>
      <w:bookmarkStart w:id="18" w:name="_Toc14628"/>
      <w:bookmarkStart w:id="19" w:name="_Toc18642"/>
      <w:bookmarkStart w:id="20" w:name="_Toc8110"/>
      <w:bookmarkStart w:id="21" w:name="_Toc448002982"/>
      <w:bookmarkStart w:id="22" w:name="_Toc249322950"/>
      <w:bookmarkStart w:id="23" w:name="_Toc248766631"/>
      <w:r>
        <w:rPr>
          <w:rFonts w:ascii="Calibri" w:eastAsia="黑体" w:cs="Calibri"/>
          <w:kern w:val="0"/>
          <w:sz w:val="32"/>
        </w:rPr>
        <w:t>第一章</w:t>
      </w:r>
      <w:r>
        <w:rPr>
          <w:rFonts w:ascii="Calibri" w:hAnsi="Calibri" w:eastAsia="黑体" w:cs="Calibri"/>
          <w:kern w:val="0"/>
          <w:sz w:val="32"/>
        </w:rPr>
        <w:t xml:space="preserve"> </w:t>
      </w:r>
      <w:bookmarkEnd w:id="12"/>
      <w:bookmarkEnd w:id="13"/>
      <w:bookmarkEnd w:id="14"/>
      <w:bookmarkEnd w:id="15"/>
      <w:bookmarkEnd w:id="16"/>
      <w:bookmarkEnd w:id="17"/>
      <w:bookmarkEnd w:id="18"/>
      <w:bookmarkEnd w:id="19"/>
      <w:bookmarkEnd w:id="20"/>
      <w:r>
        <w:rPr>
          <w:rFonts w:hint="eastAsia" w:ascii="Calibri" w:eastAsia="黑体" w:cs="Calibri"/>
          <w:kern w:val="0"/>
          <w:sz w:val="32"/>
        </w:rPr>
        <w:t>招标公告</w:t>
      </w:r>
      <w:bookmarkEnd w:id="21"/>
    </w:p>
    <w:p>
      <w:pPr>
        <w:widowControl/>
        <w:snapToGrid w:val="0"/>
        <w:spacing w:line="360" w:lineRule="auto"/>
        <w:jc w:val="left"/>
        <w:rPr>
          <w:rFonts w:cs="Arial" w:asciiTheme="majorEastAsia" w:hAnsiTheme="majorEastAsia" w:eastAsiaTheme="majorEastAsia"/>
          <w:b/>
          <w:bCs/>
          <w:kern w:val="0"/>
          <w:sz w:val="22"/>
          <w:szCs w:val="24"/>
        </w:rPr>
      </w:pPr>
      <w:r>
        <w:rPr>
          <w:rFonts w:hint="eastAsia" w:cs="Arial" w:asciiTheme="majorEastAsia" w:hAnsiTheme="majorEastAsia" w:eastAsiaTheme="majorEastAsia"/>
          <w:b/>
          <w:bCs/>
          <w:kern w:val="0"/>
          <w:sz w:val="22"/>
          <w:szCs w:val="24"/>
        </w:rPr>
        <w:t>一、招标范围及内容</w:t>
      </w:r>
    </w:p>
    <w:p>
      <w:pPr>
        <w:adjustRightInd w:val="0"/>
        <w:snapToGrid w:val="0"/>
        <w:spacing w:line="360" w:lineRule="auto"/>
        <w:ind w:firstLine="440" w:firstLineChars="200"/>
        <w:rPr>
          <w:rFonts w:asciiTheme="majorEastAsia" w:hAnsiTheme="majorEastAsia" w:eastAsiaTheme="majorEastAsia"/>
          <w:sz w:val="22"/>
          <w:szCs w:val="24"/>
        </w:rPr>
      </w:pPr>
      <w:r>
        <w:rPr>
          <w:rFonts w:hint="eastAsia" w:asciiTheme="majorEastAsia" w:hAnsiTheme="majorEastAsia" w:eastAsiaTheme="majorEastAsia"/>
          <w:sz w:val="22"/>
          <w:szCs w:val="24"/>
        </w:rPr>
        <w:t>本招标项目为杭州萧山国际机场东区国内货站项目可行性研究报告编制，招标人为杭州萧山国际机场有限公司，资金来源为自筹资金。项目已具备招标条件，采取公开招标形式，</w:t>
      </w:r>
      <w:r>
        <w:rPr>
          <w:rFonts w:hint="eastAsia" w:ascii="宋体" w:hAnsi="宋体"/>
          <w:sz w:val="22"/>
          <w:szCs w:val="24"/>
        </w:rPr>
        <w:t>拟聘请专业货运规划设计单位，对杭州萧山国际机场国内货运业务发展趋势进行研判，对国内货运设施能力进行评估，提出国内货站和附属设施建设方案，编制可行性研究报告。</w:t>
      </w:r>
    </w:p>
    <w:p>
      <w:pPr>
        <w:widowControl/>
        <w:snapToGrid w:val="0"/>
        <w:spacing w:line="360" w:lineRule="auto"/>
        <w:jc w:val="left"/>
        <w:rPr>
          <w:rFonts w:cs="Arial" w:asciiTheme="majorEastAsia" w:hAnsiTheme="majorEastAsia" w:eastAsiaTheme="majorEastAsia"/>
          <w:b/>
          <w:bCs/>
          <w:kern w:val="0"/>
          <w:sz w:val="22"/>
          <w:szCs w:val="24"/>
        </w:rPr>
      </w:pPr>
      <w:r>
        <w:rPr>
          <w:rFonts w:hint="eastAsia" w:cs="Arial" w:asciiTheme="majorEastAsia" w:hAnsiTheme="majorEastAsia" w:eastAsiaTheme="majorEastAsia"/>
          <w:b/>
          <w:bCs/>
          <w:kern w:val="0"/>
          <w:sz w:val="22"/>
          <w:szCs w:val="24"/>
        </w:rPr>
        <w:t>二、</w:t>
      </w:r>
      <w:r>
        <w:rPr>
          <w:rFonts w:cs="Arial" w:asciiTheme="majorEastAsia" w:hAnsiTheme="majorEastAsia" w:eastAsiaTheme="majorEastAsia"/>
          <w:b/>
          <w:bCs/>
          <w:kern w:val="0"/>
          <w:sz w:val="22"/>
          <w:szCs w:val="24"/>
        </w:rPr>
        <w:t> </w:t>
      </w:r>
      <w:r>
        <w:rPr>
          <w:rFonts w:hint="eastAsia" w:cs="Arial" w:asciiTheme="majorEastAsia" w:hAnsiTheme="majorEastAsia" w:eastAsiaTheme="majorEastAsia"/>
          <w:b/>
          <w:bCs/>
          <w:kern w:val="0"/>
          <w:sz w:val="22"/>
          <w:szCs w:val="24"/>
        </w:rPr>
        <w:t>投标人资格要求</w:t>
      </w:r>
      <w:r>
        <w:rPr>
          <w:rFonts w:cs="Arial" w:asciiTheme="majorEastAsia" w:hAnsiTheme="majorEastAsia" w:eastAsiaTheme="majorEastAsia"/>
          <w:b/>
          <w:bCs/>
          <w:kern w:val="0"/>
          <w:sz w:val="22"/>
          <w:szCs w:val="24"/>
        </w:rPr>
        <w:t> </w:t>
      </w:r>
    </w:p>
    <w:p>
      <w:pPr>
        <w:spacing w:line="360" w:lineRule="auto"/>
        <w:ind w:firstLine="440" w:firstLineChars="200"/>
        <w:jc w:val="left"/>
        <w:rPr>
          <w:rFonts w:asciiTheme="majorEastAsia" w:hAnsiTheme="majorEastAsia" w:eastAsiaTheme="majorEastAsia"/>
          <w:bCs/>
          <w:sz w:val="22"/>
          <w:szCs w:val="24"/>
        </w:rPr>
      </w:pPr>
      <w:r>
        <w:rPr>
          <w:rFonts w:hint="eastAsia" w:asciiTheme="majorEastAsia" w:hAnsiTheme="majorEastAsia" w:eastAsiaTheme="majorEastAsia"/>
          <w:bCs/>
          <w:sz w:val="22"/>
          <w:szCs w:val="24"/>
        </w:rPr>
        <w:t>1.投标人须为中华人民共和国境内合法注册，具有独立企业法人资格，注册资金不低于500万元人民币；</w:t>
      </w:r>
    </w:p>
    <w:p>
      <w:pPr>
        <w:spacing w:line="360" w:lineRule="auto"/>
        <w:ind w:firstLine="440" w:firstLineChars="200"/>
        <w:jc w:val="left"/>
        <w:rPr>
          <w:rFonts w:asciiTheme="majorEastAsia" w:hAnsiTheme="majorEastAsia" w:eastAsiaTheme="majorEastAsia"/>
          <w:bCs/>
          <w:sz w:val="22"/>
          <w:szCs w:val="24"/>
        </w:rPr>
      </w:pPr>
      <w:r>
        <w:rPr>
          <w:rFonts w:hint="eastAsia" w:asciiTheme="majorEastAsia" w:hAnsiTheme="majorEastAsia" w:eastAsiaTheme="majorEastAsia"/>
          <w:bCs/>
          <w:sz w:val="22"/>
          <w:szCs w:val="24"/>
        </w:rPr>
        <w:t>2.投标人应具有</w:t>
      </w:r>
      <w:r>
        <w:rPr>
          <w:rFonts w:hint="eastAsia" w:ascii="宋体" w:hAnsi="宋体" w:cs="宋体"/>
          <w:kern w:val="0"/>
          <w:sz w:val="22"/>
          <w:szCs w:val="24"/>
        </w:rPr>
        <w:t>国家发改委颁发的工程咨询（</w:t>
      </w:r>
      <w:r>
        <w:rPr>
          <w:rFonts w:ascii="宋体" w:hAnsi="宋体" w:cs="宋体"/>
          <w:kern w:val="0"/>
          <w:sz w:val="22"/>
          <w:szCs w:val="24"/>
        </w:rPr>
        <w:t>民航</w:t>
      </w:r>
      <w:r>
        <w:rPr>
          <w:rFonts w:hint="eastAsia" w:ascii="宋体" w:hAnsi="宋体" w:cs="宋体"/>
          <w:kern w:val="0"/>
          <w:sz w:val="22"/>
          <w:szCs w:val="24"/>
        </w:rPr>
        <w:t>专业）资质甲级或城乡规划甲级或工程设计甲级资质，</w:t>
      </w:r>
      <w:r>
        <w:rPr>
          <w:rFonts w:hint="eastAsia" w:asciiTheme="majorEastAsia" w:hAnsiTheme="majorEastAsia" w:eastAsiaTheme="majorEastAsia"/>
          <w:bCs/>
          <w:sz w:val="22"/>
          <w:szCs w:val="24"/>
        </w:rPr>
        <w:t>并在人员、设备、资金等方面具有相应的能力；</w:t>
      </w:r>
    </w:p>
    <w:p>
      <w:pPr>
        <w:spacing w:line="360" w:lineRule="auto"/>
        <w:ind w:firstLine="440" w:firstLineChars="200"/>
        <w:jc w:val="left"/>
        <w:rPr>
          <w:rFonts w:asciiTheme="majorEastAsia" w:hAnsiTheme="majorEastAsia" w:eastAsiaTheme="majorEastAsia"/>
          <w:bCs/>
          <w:sz w:val="22"/>
          <w:szCs w:val="24"/>
        </w:rPr>
      </w:pPr>
      <w:r>
        <w:rPr>
          <w:rFonts w:hint="eastAsia" w:asciiTheme="majorEastAsia" w:hAnsiTheme="majorEastAsia" w:eastAsiaTheme="majorEastAsia"/>
          <w:bCs/>
          <w:sz w:val="22"/>
          <w:szCs w:val="24"/>
        </w:rPr>
        <w:t>3.自2014年1月1日至今，投标人须具备航空</w:t>
      </w:r>
      <w:r>
        <w:rPr>
          <w:rFonts w:hint="eastAsia" w:ascii="宋体" w:hAnsi="宋体"/>
          <w:bCs/>
          <w:color w:val="000000" w:themeColor="text1"/>
          <w:sz w:val="22"/>
          <w:szCs w:val="24"/>
          <w14:textFill>
            <w14:solidFill>
              <w14:schemeClr w14:val="tx1"/>
            </w14:solidFill>
          </w14:textFill>
        </w:rPr>
        <w:t>物流相关的前期研究、园区规划、方案设计的经验</w:t>
      </w:r>
      <w:r>
        <w:rPr>
          <w:rFonts w:hint="eastAsia" w:asciiTheme="majorEastAsia" w:hAnsiTheme="majorEastAsia" w:eastAsiaTheme="majorEastAsia"/>
          <w:bCs/>
          <w:sz w:val="22"/>
          <w:szCs w:val="24"/>
        </w:rPr>
        <w:t>（业绩需提供合同或相关证明材料）；</w:t>
      </w:r>
    </w:p>
    <w:p>
      <w:pPr>
        <w:adjustRightInd w:val="0"/>
        <w:snapToGrid w:val="0"/>
        <w:spacing w:line="360" w:lineRule="auto"/>
        <w:ind w:firstLine="431" w:firstLineChars="196"/>
        <w:rPr>
          <w:rFonts w:asciiTheme="majorEastAsia" w:hAnsiTheme="majorEastAsia" w:eastAsiaTheme="majorEastAsia"/>
          <w:bCs/>
          <w:sz w:val="22"/>
          <w:szCs w:val="24"/>
        </w:rPr>
      </w:pPr>
      <w:r>
        <w:rPr>
          <w:rFonts w:hint="eastAsia" w:asciiTheme="majorEastAsia" w:hAnsiTheme="majorEastAsia" w:eastAsiaTheme="majorEastAsia"/>
          <w:bCs/>
          <w:sz w:val="22"/>
          <w:szCs w:val="24"/>
        </w:rPr>
        <w:t>4.法定代表人为同一个人的两个及两个以上法人，母公司、全资子公司及其控股公司，以及其他形式有资产关联关系的投标人，都不得在同一招标项目中同时投标；</w:t>
      </w:r>
    </w:p>
    <w:p>
      <w:pPr>
        <w:adjustRightInd w:val="0"/>
        <w:snapToGrid w:val="0"/>
        <w:spacing w:line="360" w:lineRule="auto"/>
        <w:ind w:firstLine="431" w:firstLineChars="196"/>
        <w:rPr>
          <w:rFonts w:asciiTheme="majorEastAsia" w:hAnsiTheme="majorEastAsia" w:eastAsiaTheme="majorEastAsia"/>
          <w:bCs/>
          <w:sz w:val="22"/>
          <w:szCs w:val="24"/>
        </w:rPr>
      </w:pPr>
      <w:r>
        <w:rPr>
          <w:rFonts w:hint="eastAsia" w:asciiTheme="majorEastAsia" w:hAnsiTheme="majorEastAsia" w:eastAsiaTheme="majorEastAsia"/>
          <w:bCs/>
          <w:sz w:val="22"/>
          <w:szCs w:val="24"/>
        </w:rPr>
        <w:t>5.本次招标不接受联合体投标。</w:t>
      </w:r>
    </w:p>
    <w:p>
      <w:pPr>
        <w:widowControl/>
        <w:snapToGrid w:val="0"/>
        <w:spacing w:line="360" w:lineRule="auto"/>
        <w:jc w:val="left"/>
        <w:rPr>
          <w:rFonts w:cs="Arial" w:asciiTheme="majorEastAsia" w:hAnsiTheme="majorEastAsia" w:eastAsiaTheme="majorEastAsia"/>
          <w:b/>
          <w:bCs/>
          <w:kern w:val="0"/>
          <w:sz w:val="22"/>
          <w:szCs w:val="24"/>
        </w:rPr>
      </w:pPr>
      <w:r>
        <w:rPr>
          <w:rFonts w:hint="eastAsia" w:cs="Arial" w:asciiTheme="majorEastAsia" w:hAnsiTheme="majorEastAsia" w:eastAsiaTheme="majorEastAsia"/>
          <w:b/>
          <w:bCs/>
          <w:kern w:val="0"/>
          <w:sz w:val="22"/>
          <w:szCs w:val="24"/>
        </w:rPr>
        <w:t>三、招标文件获取</w:t>
      </w:r>
    </w:p>
    <w:p>
      <w:pPr>
        <w:widowControl/>
        <w:adjustRightInd w:val="0"/>
        <w:snapToGrid w:val="0"/>
        <w:spacing w:line="360" w:lineRule="auto"/>
        <w:ind w:firstLine="440" w:firstLineChars="200"/>
        <w:rPr>
          <w:rFonts w:cs="Arial" w:asciiTheme="majorEastAsia" w:hAnsiTheme="majorEastAsia" w:eastAsiaTheme="majorEastAsia"/>
          <w:kern w:val="0"/>
          <w:sz w:val="22"/>
          <w:szCs w:val="24"/>
        </w:rPr>
      </w:pPr>
      <w:r>
        <w:rPr>
          <w:rFonts w:hint="eastAsia" w:cs="Arial" w:asciiTheme="majorEastAsia" w:hAnsiTheme="majorEastAsia" w:eastAsiaTheme="majorEastAsia"/>
          <w:kern w:val="0"/>
          <w:sz w:val="22"/>
          <w:szCs w:val="24"/>
        </w:rPr>
        <w:t>凡</w:t>
      </w:r>
      <w:r>
        <w:rPr>
          <w:rFonts w:hint="eastAsia" w:cs="Arial" w:asciiTheme="minorEastAsia" w:hAnsiTheme="minorEastAsia" w:eastAsiaTheme="minorEastAsia"/>
          <w:kern w:val="0"/>
          <w:sz w:val="22"/>
          <w:szCs w:val="24"/>
        </w:rPr>
        <w:t>符合资格条件并有投标意向的潜在投标人，请通过杭州萧山机场有限公司主页</w:t>
      </w:r>
      <w:r>
        <w:fldChar w:fldCharType="begin"/>
      </w:r>
      <w:r>
        <w:instrText xml:space="preserve"> HYPERLINK "http://www.hzairport.com/zbxx.aspx" </w:instrText>
      </w:r>
      <w:r>
        <w:fldChar w:fldCharType="separate"/>
      </w:r>
      <w:r>
        <w:rPr>
          <w:rFonts w:cs="Arial" w:asciiTheme="minorEastAsia" w:hAnsiTheme="minorEastAsia" w:eastAsiaTheme="minorEastAsia"/>
          <w:kern w:val="0"/>
          <w:sz w:val="22"/>
          <w:szCs w:val="24"/>
        </w:rPr>
        <w:t>http://www.hzairport.com/zbxx.aspx</w:t>
      </w:r>
      <w:r>
        <w:rPr>
          <w:rFonts w:cs="Arial" w:asciiTheme="minorEastAsia" w:hAnsiTheme="minorEastAsia" w:eastAsiaTheme="minorEastAsia"/>
          <w:kern w:val="0"/>
          <w:sz w:val="22"/>
          <w:szCs w:val="24"/>
        </w:rPr>
        <w:fldChar w:fldCharType="end"/>
      </w:r>
      <w:r>
        <w:rPr>
          <w:rFonts w:hint="eastAsia" w:cs="Arial" w:asciiTheme="minorEastAsia" w:hAnsiTheme="minorEastAsia" w:eastAsiaTheme="minorEastAsia"/>
          <w:kern w:val="0"/>
          <w:sz w:val="22"/>
          <w:szCs w:val="24"/>
        </w:rPr>
        <w:t>自行下载招标文件</w:t>
      </w:r>
      <w:r>
        <w:rPr>
          <w:rFonts w:hint="eastAsia" w:cs="Arial" w:asciiTheme="majorEastAsia" w:hAnsiTheme="majorEastAsia" w:eastAsiaTheme="majorEastAsia"/>
          <w:kern w:val="0"/>
          <w:sz w:val="22"/>
          <w:szCs w:val="24"/>
        </w:rPr>
        <w:t>。</w:t>
      </w:r>
    </w:p>
    <w:p>
      <w:pPr>
        <w:widowControl/>
        <w:adjustRightInd w:val="0"/>
        <w:snapToGrid w:val="0"/>
        <w:spacing w:line="360" w:lineRule="auto"/>
        <w:ind w:firstLine="440" w:firstLineChars="200"/>
        <w:rPr>
          <w:rFonts w:cs="Arial" w:asciiTheme="majorEastAsia" w:hAnsiTheme="majorEastAsia" w:eastAsiaTheme="majorEastAsia"/>
          <w:kern w:val="0"/>
          <w:sz w:val="22"/>
          <w:szCs w:val="24"/>
        </w:rPr>
      </w:pPr>
      <w:r>
        <w:rPr>
          <w:rFonts w:hint="eastAsia" w:cs="Arial" w:asciiTheme="majorEastAsia" w:hAnsiTheme="majorEastAsia" w:eastAsiaTheme="majorEastAsia"/>
          <w:kern w:val="0"/>
          <w:sz w:val="22"/>
          <w:szCs w:val="24"/>
        </w:rPr>
        <w:t>招标文件下载</w:t>
      </w:r>
    </w:p>
    <w:p>
      <w:pPr>
        <w:widowControl/>
        <w:snapToGrid w:val="0"/>
        <w:spacing w:line="360" w:lineRule="auto"/>
        <w:jc w:val="left"/>
        <w:rPr>
          <w:rFonts w:cs="Arial" w:asciiTheme="majorEastAsia" w:hAnsiTheme="majorEastAsia" w:eastAsiaTheme="majorEastAsia"/>
          <w:b/>
          <w:bCs/>
          <w:kern w:val="0"/>
          <w:sz w:val="22"/>
          <w:szCs w:val="24"/>
        </w:rPr>
      </w:pPr>
      <w:r>
        <w:rPr>
          <w:rFonts w:hint="eastAsia" w:cs="Arial" w:asciiTheme="majorEastAsia" w:hAnsiTheme="majorEastAsia" w:eastAsiaTheme="majorEastAsia"/>
          <w:b/>
          <w:bCs/>
          <w:kern w:val="0"/>
          <w:sz w:val="22"/>
          <w:szCs w:val="24"/>
        </w:rPr>
        <w:t>四、投标文件的递交</w:t>
      </w:r>
    </w:p>
    <w:p>
      <w:pPr>
        <w:widowControl/>
        <w:adjustRightInd w:val="0"/>
        <w:snapToGrid w:val="0"/>
        <w:spacing w:line="360" w:lineRule="auto"/>
        <w:ind w:firstLine="440" w:firstLineChars="200"/>
        <w:rPr>
          <w:rFonts w:cs="Arial" w:asciiTheme="majorEastAsia" w:hAnsiTheme="majorEastAsia" w:eastAsiaTheme="majorEastAsia"/>
          <w:kern w:val="0"/>
          <w:sz w:val="22"/>
          <w:szCs w:val="24"/>
        </w:rPr>
      </w:pPr>
      <w:r>
        <w:rPr>
          <w:rFonts w:hint="eastAsia" w:cs="Arial" w:asciiTheme="majorEastAsia" w:hAnsiTheme="majorEastAsia" w:eastAsiaTheme="majorEastAsia"/>
          <w:kern w:val="0"/>
          <w:sz w:val="22"/>
          <w:szCs w:val="24"/>
        </w:rPr>
        <w:t>1.投标文件递交截止时间：</w:t>
      </w:r>
      <w:r>
        <w:rPr>
          <w:rFonts w:hint="eastAsia" w:cs="Arial" w:asciiTheme="majorEastAsia" w:hAnsiTheme="majorEastAsia" w:eastAsiaTheme="majorEastAsia"/>
          <w:kern w:val="0"/>
          <w:sz w:val="22"/>
          <w:szCs w:val="24"/>
          <w:lang w:eastAsia="zh-CN"/>
        </w:rPr>
        <w:t>2019年6月24日下午14时00分（北京时间）</w:t>
      </w:r>
      <w:r>
        <w:rPr>
          <w:rFonts w:hint="eastAsia" w:cs="Arial" w:asciiTheme="majorEastAsia" w:hAnsiTheme="majorEastAsia" w:eastAsiaTheme="majorEastAsia"/>
          <w:kern w:val="0"/>
          <w:sz w:val="22"/>
          <w:szCs w:val="24"/>
        </w:rPr>
        <w:t>。投标文件在封口处加盖公章，并派专人于</w:t>
      </w:r>
      <w:r>
        <w:rPr>
          <w:rFonts w:hint="eastAsia" w:cs="Arial" w:asciiTheme="majorEastAsia" w:hAnsiTheme="majorEastAsia" w:eastAsiaTheme="majorEastAsia"/>
          <w:kern w:val="0"/>
          <w:sz w:val="22"/>
          <w:szCs w:val="24"/>
          <w:lang w:eastAsia="zh-CN"/>
        </w:rPr>
        <w:t>2019年6月24日下午14时00分（北京时间）</w:t>
      </w:r>
      <w:r>
        <w:rPr>
          <w:rFonts w:hint="eastAsia" w:cs="Arial" w:asciiTheme="majorEastAsia" w:hAnsiTheme="majorEastAsia" w:eastAsiaTheme="majorEastAsia"/>
          <w:kern w:val="0"/>
          <w:sz w:val="22"/>
          <w:szCs w:val="24"/>
        </w:rPr>
        <w:t>前送至杭州萧山国际机场翔越路综合服务楼园区招标中心，逾期无效；若采用投递方式的，请于</w:t>
      </w:r>
      <w:r>
        <w:rPr>
          <w:rFonts w:hint="eastAsia" w:cs="Arial" w:asciiTheme="majorEastAsia" w:hAnsiTheme="majorEastAsia" w:eastAsiaTheme="majorEastAsia"/>
          <w:kern w:val="0"/>
          <w:sz w:val="22"/>
          <w:szCs w:val="24"/>
          <w:lang w:eastAsia="zh-CN"/>
        </w:rPr>
        <w:t>2019年6月24日下午14时00分（北京时间）</w:t>
      </w:r>
      <w:r>
        <w:rPr>
          <w:rFonts w:hint="eastAsia" w:cs="Arial" w:asciiTheme="majorEastAsia" w:hAnsiTheme="majorEastAsia" w:eastAsiaTheme="majorEastAsia"/>
          <w:kern w:val="0"/>
          <w:sz w:val="22"/>
          <w:szCs w:val="24"/>
        </w:rPr>
        <w:t>前投递至杭州萧山国际机场综合楼213室，逾期无效。</w:t>
      </w:r>
    </w:p>
    <w:p>
      <w:pPr>
        <w:widowControl/>
        <w:adjustRightInd w:val="0"/>
        <w:snapToGrid w:val="0"/>
        <w:spacing w:line="360" w:lineRule="auto"/>
        <w:ind w:firstLine="440" w:firstLineChars="200"/>
        <w:rPr>
          <w:rFonts w:cs="Arial" w:asciiTheme="majorEastAsia" w:hAnsiTheme="majorEastAsia" w:eastAsiaTheme="majorEastAsia"/>
          <w:kern w:val="0"/>
          <w:sz w:val="22"/>
          <w:szCs w:val="24"/>
        </w:rPr>
      </w:pPr>
      <w:r>
        <w:rPr>
          <w:rFonts w:hint="eastAsia" w:cs="Arial" w:asciiTheme="majorEastAsia" w:hAnsiTheme="majorEastAsia" w:eastAsiaTheme="majorEastAsia"/>
          <w:kern w:val="0"/>
          <w:sz w:val="22"/>
          <w:szCs w:val="24"/>
        </w:rPr>
        <w:t>2.</w:t>
      </w:r>
      <w:r>
        <w:rPr>
          <w:rFonts w:hint="eastAsia" w:asciiTheme="majorEastAsia" w:hAnsiTheme="majorEastAsia" w:eastAsiaTheme="majorEastAsia"/>
          <w:sz w:val="22"/>
          <w:szCs w:val="24"/>
        </w:rPr>
        <w:t>逾期送达或者未送达指定地点的投标文件，招标人不予受理。</w:t>
      </w:r>
    </w:p>
    <w:p>
      <w:pPr>
        <w:widowControl/>
        <w:snapToGrid w:val="0"/>
        <w:spacing w:line="360" w:lineRule="auto"/>
        <w:jc w:val="left"/>
        <w:rPr>
          <w:rFonts w:cs="Arial" w:asciiTheme="majorEastAsia" w:hAnsiTheme="majorEastAsia" w:eastAsiaTheme="majorEastAsia"/>
          <w:b/>
          <w:bCs/>
          <w:kern w:val="0"/>
          <w:sz w:val="22"/>
          <w:szCs w:val="24"/>
        </w:rPr>
      </w:pPr>
      <w:r>
        <w:rPr>
          <w:rFonts w:hint="eastAsia" w:cs="Arial" w:asciiTheme="majorEastAsia" w:hAnsiTheme="majorEastAsia" w:eastAsiaTheme="majorEastAsia"/>
          <w:b/>
          <w:bCs/>
          <w:kern w:val="0"/>
          <w:sz w:val="22"/>
          <w:szCs w:val="24"/>
        </w:rPr>
        <w:t>五、发布公告的媒介</w:t>
      </w:r>
    </w:p>
    <w:p>
      <w:pPr>
        <w:widowControl/>
        <w:adjustRightInd w:val="0"/>
        <w:snapToGrid w:val="0"/>
        <w:spacing w:line="360" w:lineRule="auto"/>
        <w:ind w:firstLine="440" w:firstLineChars="200"/>
        <w:rPr>
          <w:rFonts w:cs="Arial" w:asciiTheme="majorEastAsia" w:hAnsiTheme="majorEastAsia" w:eastAsiaTheme="majorEastAsia"/>
          <w:kern w:val="0"/>
          <w:sz w:val="22"/>
          <w:szCs w:val="24"/>
        </w:rPr>
      </w:pPr>
      <w:r>
        <w:rPr>
          <w:rFonts w:hint="eastAsia" w:cs="Arial" w:asciiTheme="majorEastAsia" w:hAnsiTheme="majorEastAsia" w:eastAsiaTheme="majorEastAsia"/>
          <w:kern w:val="0"/>
          <w:sz w:val="22"/>
          <w:szCs w:val="24"/>
        </w:rPr>
        <w:t>本次招标公告在</w:t>
      </w:r>
      <w:r>
        <w:rPr>
          <w:rFonts w:hint="eastAsia" w:cs="Arial" w:asciiTheme="majorEastAsia" w:hAnsiTheme="majorEastAsia" w:eastAsiaTheme="majorEastAsia"/>
          <w:b/>
          <w:kern w:val="0"/>
          <w:sz w:val="22"/>
          <w:szCs w:val="24"/>
        </w:rPr>
        <w:t>中国采购与招标网和杭州萧山机场有限公司</w:t>
      </w:r>
      <w:r>
        <w:rPr>
          <w:rFonts w:hint="eastAsia" w:cs="Arial" w:asciiTheme="majorEastAsia" w:hAnsiTheme="majorEastAsia" w:eastAsiaTheme="majorEastAsia"/>
          <w:kern w:val="0"/>
          <w:sz w:val="22"/>
          <w:szCs w:val="24"/>
        </w:rPr>
        <w:t>主页上发布</w:t>
      </w:r>
    </w:p>
    <w:p>
      <w:pPr>
        <w:widowControl/>
        <w:adjustRightInd w:val="0"/>
        <w:snapToGrid w:val="0"/>
        <w:spacing w:line="360" w:lineRule="auto"/>
        <w:ind w:firstLine="440" w:firstLineChars="200"/>
        <w:rPr>
          <w:rFonts w:cs="Arial" w:asciiTheme="majorEastAsia" w:hAnsiTheme="majorEastAsia" w:eastAsiaTheme="majorEastAsia"/>
          <w:kern w:val="0"/>
          <w:sz w:val="22"/>
          <w:szCs w:val="24"/>
        </w:rPr>
      </w:pPr>
      <w:r>
        <w:rPr>
          <w:rFonts w:hint="eastAsia" w:asciiTheme="majorEastAsia" w:hAnsiTheme="majorEastAsia" w:eastAsiaTheme="majorEastAsia"/>
          <w:sz w:val="22"/>
          <w:szCs w:val="24"/>
        </w:rPr>
        <w:t>中国采购与招标网</w:t>
      </w:r>
      <w:r>
        <w:rPr>
          <w:rFonts w:asciiTheme="majorEastAsia" w:hAnsiTheme="majorEastAsia" w:eastAsiaTheme="majorEastAsia"/>
          <w:sz w:val="22"/>
          <w:szCs w:val="24"/>
        </w:rPr>
        <w:t xml:space="preserve">  </w:t>
      </w:r>
      <w:r>
        <w:fldChar w:fldCharType="begin"/>
      </w:r>
      <w:r>
        <w:instrText xml:space="preserve"> HYPERLINK "http://www.chinabidding.com.cn" </w:instrText>
      </w:r>
      <w:r>
        <w:fldChar w:fldCharType="separate"/>
      </w:r>
      <w:r>
        <w:rPr>
          <w:rFonts w:asciiTheme="majorEastAsia" w:hAnsiTheme="majorEastAsia" w:eastAsiaTheme="majorEastAsia"/>
          <w:sz w:val="22"/>
          <w:szCs w:val="24"/>
        </w:rPr>
        <w:t>http://www.chinabidding.com.cn</w:t>
      </w:r>
      <w:r>
        <w:rPr>
          <w:rFonts w:asciiTheme="majorEastAsia" w:hAnsiTheme="majorEastAsia" w:eastAsiaTheme="majorEastAsia"/>
          <w:sz w:val="22"/>
          <w:szCs w:val="24"/>
        </w:rPr>
        <w:fldChar w:fldCharType="end"/>
      </w:r>
    </w:p>
    <w:p>
      <w:pPr>
        <w:widowControl/>
        <w:adjustRightInd w:val="0"/>
        <w:snapToGrid w:val="0"/>
        <w:spacing w:line="360" w:lineRule="auto"/>
        <w:ind w:firstLine="440" w:firstLineChars="200"/>
        <w:rPr>
          <w:rFonts w:cs="Arial" w:asciiTheme="majorEastAsia" w:hAnsiTheme="majorEastAsia" w:eastAsiaTheme="majorEastAsia"/>
          <w:kern w:val="0"/>
          <w:sz w:val="22"/>
          <w:szCs w:val="24"/>
        </w:rPr>
      </w:pPr>
      <w:r>
        <w:rPr>
          <w:rFonts w:hint="eastAsia" w:cs="Arial" w:asciiTheme="majorEastAsia" w:hAnsiTheme="majorEastAsia" w:eastAsiaTheme="majorEastAsia"/>
          <w:kern w:val="0"/>
          <w:sz w:val="22"/>
          <w:szCs w:val="24"/>
        </w:rPr>
        <w:t>杭州萧山机场有限公司主页http://www.hzairport.com</w:t>
      </w:r>
    </w:p>
    <w:p>
      <w:pPr>
        <w:widowControl/>
        <w:snapToGrid w:val="0"/>
        <w:spacing w:line="360" w:lineRule="auto"/>
        <w:jc w:val="left"/>
        <w:rPr>
          <w:rFonts w:cs="Arial" w:asciiTheme="majorEastAsia" w:hAnsiTheme="majorEastAsia" w:eastAsiaTheme="majorEastAsia"/>
          <w:b/>
          <w:bCs/>
          <w:kern w:val="0"/>
          <w:sz w:val="22"/>
          <w:szCs w:val="24"/>
        </w:rPr>
      </w:pPr>
      <w:r>
        <w:rPr>
          <w:rFonts w:hint="eastAsia" w:cs="Arial" w:asciiTheme="majorEastAsia" w:hAnsiTheme="majorEastAsia" w:eastAsiaTheme="majorEastAsia"/>
          <w:b/>
          <w:bCs/>
          <w:kern w:val="0"/>
          <w:sz w:val="22"/>
          <w:szCs w:val="24"/>
        </w:rPr>
        <w:t>六、联系方式</w:t>
      </w:r>
    </w:p>
    <w:p>
      <w:pPr>
        <w:widowControl/>
        <w:adjustRightInd w:val="0"/>
        <w:snapToGrid w:val="0"/>
        <w:spacing w:line="360" w:lineRule="auto"/>
        <w:ind w:firstLine="440" w:firstLineChars="200"/>
        <w:rPr>
          <w:rFonts w:asciiTheme="majorEastAsia" w:hAnsiTheme="majorEastAsia" w:eastAsiaTheme="majorEastAsia"/>
          <w:sz w:val="22"/>
          <w:szCs w:val="24"/>
        </w:rPr>
      </w:pPr>
      <w:r>
        <w:rPr>
          <w:rFonts w:hint="eastAsia" w:asciiTheme="majorEastAsia" w:hAnsiTheme="majorEastAsia" w:eastAsiaTheme="majorEastAsia"/>
          <w:sz w:val="22"/>
          <w:szCs w:val="24"/>
        </w:rPr>
        <w:t>投标联系人：贾思勰        联系电话： 0571-86662723</w:t>
      </w:r>
    </w:p>
    <w:p>
      <w:pPr>
        <w:widowControl/>
        <w:adjustRightInd w:val="0"/>
        <w:snapToGrid w:val="0"/>
        <w:spacing w:line="360" w:lineRule="auto"/>
        <w:ind w:firstLine="440" w:firstLineChars="200"/>
        <w:rPr>
          <w:rFonts w:asciiTheme="majorEastAsia" w:hAnsiTheme="majorEastAsia" w:eastAsiaTheme="majorEastAsia"/>
          <w:sz w:val="22"/>
          <w:szCs w:val="24"/>
        </w:rPr>
      </w:pPr>
      <w:r>
        <w:rPr>
          <w:rFonts w:hint="eastAsia" w:asciiTheme="majorEastAsia" w:hAnsiTheme="majorEastAsia" w:eastAsiaTheme="majorEastAsia"/>
          <w:sz w:val="22"/>
          <w:szCs w:val="24"/>
        </w:rPr>
        <w:t>招标监督人：阮周长         联系电话： 0571-86662133</w:t>
      </w:r>
    </w:p>
    <w:p>
      <w:pPr>
        <w:widowControl/>
        <w:adjustRightInd w:val="0"/>
        <w:snapToGrid w:val="0"/>
        <w:spacing w:line="340" w:lineRule="exact"/>
        <w:ind w:firstLine="440" w:firstLineChars="200"/>
        <w:rPr>
          <w:rFonts w:ascii="宋体" w:hAnsi="宋体"/>
          <w:sz w:val="22"/>
        </w:rPr>
      </w:pPr>
    </w:p>
    <w:p>
      <w:pPr>
        <w:pStyle w:val="2"/>
        <w:spacing w:before="0" w:after="0" w:line="360" w:lineRule="auto"/>
        <w:jc w:val="center"/>
        <w:rPr>
          <w:rFonts w:ascii="Calibri" w:hAnsi="Calibri" w:eastAsia="黑体" w:cs="Calibri"/>
          <w:kern w:val="0"/>
          <w:sz w:val="32"/>
        </w:rPr>
      </w:pPr>
      <w:r>
        <w:rPr>
          <w:rFonts w:ascii="宋体" w:hAnsi="宋体" w:cs="Calibri"/>
          <w:kern w:val="0"/>
          <w:highlight w:val="yellow"/>
        </w:rPr>
        <w:br w:type="page"/>
      </w:r>
      <w:bookmarkStart w:id="24" w:name="_Toc448002983"/>
      <w:r>
        <w:rPr>
          <w:rFonts w:ascii="Calibri" w:eastAsia="黑体" w:cs="Calibri"/>
          <w:kern w:val="0"/>
          <w:sz w:val="32"/>
        </w:rPr>
        <w:t>第二章</w:t>
      </w:r>
      <w:r>
        <w:rPr>
          <w:rFonts w:ascii="Calibri" w:hAnsi="Calibri" w:eastAsia="黑体" w:cs="Calibri"/>
          <w:kern w:val="0"/>
          <w:sz w:val="32"/>
        </w:rPr>
        <w:t xml:space="preserve">  </w:t>
      </w:r>
      <w:r>
        <w:rPr>
          <w:rFonts w:ascii="Calibri" w:eastAsia="黑体" w:cs="Calibri"/>
          <w:kern w:val="0"/>
          <w:sz w:val="32"/>
        </w:rPr>
        <w:t>投标人须知</w:t>
      </w:r>
      <w:bookmarkEnd w:id="0"/>
      <w:bookmarkEnd w:id="22"/>
      <w:bookmarkEnd w:id="23"/>
      <w:bookmarkEnd w:id="24"/>
      <w:bookmarkStart w:id="25" w:name="_Toc143421654"/>
    </w:p>
    <w:p>
      <w:pPr>
        <w:pStyle w:val="130"/>
        <w:jc w:val="center"/>
        <w:rPr>
          <w:rFonts w:ascii="Calibri" w:hAnsi="Calibri" w:eastAsia="黑体" w:cs="Calibri"/>
          <w:kern w:val="2"/>
          <w:sz w:val="28"/>
          <w:szCs w:val="32"/>
        </w:rPr>
      </w:pPr>
      <w:bookmarkStart w:id="26" w:name="_Toc386359393"/>
      <w:bookmarkStart w:id="27" w:name="_Toc448002984"/>
      <w:bookmarkStart w:id="28" w:name="_Toc444173459"/>
      <w:bookmarkStart w:id="29" w:name="_Toc444174979"/>
      <w:bookmarkStart w:id="30" w:name="_Toc444811409"/>
      <w:bookmarkStart w:id="31" w:name="_Toc400369185"/>
      <w:bookmarkStart w:id="32" w:name="_Toc349007688"/>
      <w:bookmarkStart w:id="33" w:name="_Toc349011858"/>
      <w:bookmarkStart w:id="34" w:name="_Toc386363317"/>
      <w:bookmarkStart w:id="35" w:name="_Toc11881"/>
      <w:r>
        <w:rPr>
          <w:rFonts w:ascii="Calibri" w:hAnsi="Arial" w:eastAsia="黑体" w:cs="Calibri"/>
          <w:kern w:val="2"/>
          <w:sz w:val="28"/>
          <w:szCs w:val="32"/>
        </w:rPr>
        <w:t>投标人须知前附表</w:t>
      </w:r>
      <w:bookmarkEnd w:id="25"/>
      <w:bookmarkEnd w:id="26"/>
      <w:bookmarkEnd w:id="27"/>
      <w:bookmarkEnd w:id="28"/>
      <w:bookmarkEnd w:id="29"/>
      <w:bookmarkEnd w:id="30"/>
      <w:bookmarkEnd w:id="31"/>
      <w:bookmarkEnd w:id="32"/>
      <w:bookmarkEnd w:id="33"/>
      <w:bookmarkEnd w:id="34"/>
      <w:bookmarkEnd w:id="35"/>
    </w:p>
    <w:tbl>
      <w:tblPr>
        <w:tblStyle w:val="53"/>
        <w:tblW w:w="944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0"/>
        <w:gridCol w:w="2004"/>
        <w:gridCol w:w="6481"/>
        <w:gridCol w:w="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blHeader/>
          <w:jc w:val="center"/>
        </w:trPr>
        <w:tc>
          <w:tcPr>
            <w:tcW w:w="950" w:type="dxa"/>
            <w:tcBorders>
              <w:top w:val="single" w:color="auto" w:sz="12" w:space="0"/>
            </w:tcBorders>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序号</w:t>
            </w:r>
          </w:p>
        </w:tc>
        <w:tc>
          <w:tcPr>
            <w:tcW w:w="2004" w:type="dxa"/>
            <w:tcBorders>
              <w:top w:val="single" w:color="auto" w:sz="12" w:space="0"/>
            </w:tcBorders>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条 款 名 称</w:t>
            </w:r>
          </w:p>
        </w:tc>
        <w:tc>
          <w:tcPr>
            <w:tcW w:w="6488" w:type="dxa"/>
            <w:gridSpan w:val="2"/>
            <w:tcBorders>
              <w:top w:val="single" w:color="auto" w:sz="12" w:space="0"/>
            </w:tcBorders>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编 列 内 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sz w:val="22"/>
              </w:rPr>
              <w:t>1</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项目名称</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ascii="宋体" w:hAnsi="宋体" w:cs="Arial"/>
                <w:kern w:val="0"/>
                <w:sz w:val="22"/>
              </w:rPr>
              <w:t>杭州萧山国际机场</w:t>
            </w:r>
            <w:r>
              <w:rPr>
                <w:rFonts w:hint="eastAsia" w:ascii="宋体" w:hAnsi="宋体" w:cs="Arial"/>
                <w:kern w:val="0"/>
                <w:sz w:val="22"/>
              </w:rPr>
              <w:t>东区国内货站</w:t>
            </w:r>
            <w:r>
              <w:rPr>
                <w:rFonts w:ascii="宋体" w:hAnsi="宋体" w:cs="Arial"/>
                <w:kern w:val="0"/>
                <w:sz w:val="22"/>
              </w:rPr>
              <w:t>项</w:t>
            </w:r>
            <w:r>
              <w:rPr>
                <w:rFonts w:hint="eastAsia" w:ascii="宋体" w:hAnsi="宋体" w:cs="Arial"/>
                <w:kern w:val="0"/>
                <w:sz w:val="22"/>
              </w:rPr>
              <w:t>目可行性研究报告编制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sz w:val="22"/>
              </w:rPr>
            </w:pPr>
            <w:r>
              <w:rPr>
                <w:rFonts w:hint="eastAsia" w:cs="Calibri" w:asciiTheme="minorEastAsia" w:hAnsiTheme="minorEastAsia" w:eastAsiaTheme="minorEastAsia"/>
                <w:sz w:val="22"/>
              </w:rPr>
              <w:t>2</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实施</w:t>
            </w:r>
            <w:r>
              <w:rPr>
                <w:rFonts w:cs="Calibri" w:asciiTheme="minorEastAsia" w:hAnsiTheme="minorEastAsia" w:eastAsiaTheme="minorEastAsia"/>
                <w:kern w:val="0"/>
                <w:sz w:val="22"/>
              </w:rPr>
              <w:t>地点</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ascii="宋体" w:hAnsi="宋体" w:cs="Calibri"/>
                <w:kern w:val="0"/>
                <w:sz w:val="22"/>
              </w:rPr>
              <w:t>杭州萧山国际机场</w:t>
            </w:r>
            <w:r>
              <w:rPr>
                <w:rFonts w:ascii="宋体" w:hAnsi="宋体" w:cs="Calibri"/>
                <w:sz w:val="22"/>
              </w:rPr>
              <w:t>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3</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资金来源</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Style w:val="81"/>
                <w:rFonts w:hint="eastAsia" w:cs="Calibri" w:asciiTheme="minorEastAsia" w:hAnsiTheme="minorEastAsia" w:eastAsiaTheme="minorEastAsia"/>
                <w:sz w:val="22"/>
              </w:rPr>
              <w:t>自筹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4</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招标</w:t>
            </w:r>
            <w:r>
              <w:rPr>
                <w:rFonts w:hint="eastAsia" w:cs="Calibri" w:asciiTheme="minorEastAsia" w:hAnsiTheme="minorEastAsia" w:eastAsiaTheme="minorEastAsia"/>
                <w:kern w:val="0"/>
                <w:sz w:val="22"/>
              </w:rPr>
              <w:t>内容</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见招标公告，具体要求详见第</w:t>
            </w:r>
            <w:r>
              <w:rPr>
                <w:rFonts w:hint="eastAsia" w:cs="Calibri" w:asciiTheme="minorEastAsia" w:hAnsiTheme="minorEastAsia" w:eastAsiaTheme="minorEastAsia"/>
                <w:kern w:val="0"/>
                <w:sz w:val="22"/>
              </w:rPr>
              <w:t>三</w:t>
            </w:r>
            <w:r>
              <w:rPr>
                <w:rFonts w:cs="Calibri" w:asciiTheme="minorEastAsia" w:hAnsiTheme="minorEastAsia" w:eastAsiaTheme="minorEastAsia"/>
                <w:kern w:val="0"/>
                <w:sz w:val="22"/>
              </w:rPr>
              <w:t>章“</w:t>
            </w:r>
            <w:r>
              <w:rPr>
                <w:rFonts w:hint="eastAsia" w:cs="Calibri" w:asciiTheme="minorEastAsia" w:hAnsiTheme="minorEastAsia" w:eastAsiaTheme="minorEastAsia"/>
                <w:kern w:val="0"/>
                <w:sz w:val="22"/>
              </w:rPr>
              <w:t>服务技术标准及要求</w:t>
            </w:r>
            <w:r>
              <w:rPr>
                <w:rFonts w:cs="Calibri" w:asciiTheme="minorEastAsia" w:hAnsiTheme="minorEastAsia" w:eastAsiaTheme="minorEastAsia"/>
                <w:kern w:val="0"/>
                <w:sz w:val="22"/>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5</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招标方式</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公开招标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6</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资格审查</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采用资格后审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7</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投标人资质条件、能力和信誉</w:t>
            </w:r>
          </w:p>
        </w:tc>
        <w:tc>
          <w:tcPr>
            <w:tcW w:w="6488" w:type="dxa"/>
            <w:gridSpan w:val="2"/>
            <w:vAlign w:val="center"/>
          </w:tcPr>
          <w:p>
            <w:pPr>
              <w:autoSpaceDE w:val="0"/>
              <w:autoSpaceDN w:val="0"/>
              <w:adjustRightInd w:val="0"/>
              <w:snapToGrid w:val="0"/>
              <w:rPr>
                <w:rFonts w:cs="Calibri" w:asciiTheme="minorEastAsia" w:hAnsiTheme="minorEastAsia" w:eastAsiaTheme="minorEastAsia"/>
                <w:color w:val="FF0000"/>
                <w:kern w:val="0"/>
                <w:sz w:val="22"/>
              </w:rPr>
            </w:pPr>
            <w:r>
              <w:rPr>
                <w:rFonts w:cs="Calibri" w:asciiTheme="minorEastAsia" w:hAnsiTheme="minorEastAsia" w:eastAsiaTheme="minorEastAsia"/>
                <w:kern w:val="0"/>
                <w:sz w:val="22"/>
              </w:rPr>
              <w:t>详见招标公告</w:t>
            </w:r>
            <w:r>
              <w:rPr>
                <w:rFonts w:hint="eastAsia" w:cs="Calibri" w:asciiTheme="minorEastAsia" w:hAnsiTheme="minorEastAsia" w:eastAsiaTheme="minorEastAsia"/>
                <w:kern w:val="0"/>
                <w:sz w:val="22"/>
              </w:rPr>
              <w:t>“</w:t>
            </w:r>
            <w:r>
              <w:rPr>
                <w:rFonts w:hint="eastAsia" w:cs="黑体" w:asciiTheme="minorEastAsia" w:hAnsiTheme="minorEastAsia" w:eastAsiaTheme="minorEastAsia"/>
                <w:kern w:val="0"/>
                <w:sz w:val="22"/>
              </w:rPr>
              <w:t>投标人资格要求”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8</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服务期</w:t>
            </w:r>
          </w:p>
        </w:tc>
        <w:tc>
          <w:tcPr>
            <w:tcW w:w="6488" w:type="dxa"/>
            <w:gridSpan w:val="2"/>
            <w:vAlign w:val="center"/>
          </w:tcPr>
          <w:p>
            <w:pPr>
              <w:rPr>
                <w:rFonts w:asciiTheme="minorEastAsia" w:hAnsiTheme="minorEastAsia" w:eastAsiaTheme="minorEastAsia"/>
                <w:color w:val="000000"/>
                <w:sz w:val="22"/>
              </w:rPr>
            </w:pPr>
            <w:r>
              <w:rPr>
                <w:rFonts w:hint="eastAsia" w:asciiTheme="minorEastAsia" w:hAnsiTheme="minorEastAsia" w:eastAsiaTheme="minorEastAsia"/>
                <w:sz w:val="22"/>
                <w:u w:val="single"/>
              </w:rPr>
              <w:t xml:space="preserve">   60   </w:t>
            </w:r>
            <w:r>
              <w:rPr>
                <w:rFonts w:hint="eastAsia" w:asciiTheme="minorEastAsia" w:hAnsiTheme="minorEastAsia" w:eastAsiaTheme="minorEastAsia"/>
                <w:sz w:val="22"/>
              </w:rPr>
              <w:t>日历天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9</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质量要求</w:t>
            </w:r>
          </w:p>
        </w:tc>
        <w:tc>
          <w:tcPr>
            <w:tcW w:w="6488" w:type="dxa"/>
            <w:gridSpan w:val="2"/>
            <w:vAlign w:val="center"/>
          </w:tcPr>
          <w:p>
            <w:pPr>
              <w:rPr>
                <w:rFonts w:asciiTheme="minorEastAsia" w:hAnsiTheme="minorEastAsia" w:eastAsiaTheme="minorEastAsia"/>
                <w:color w:val="000000"/>
                <w:sz w:val="22"/>
              </w:rPr>
            </w:pPr>
            <w:r>
              <w:rPr>
                <w:rFonts w:hint="eastAsia" w:asciiTheme="minorEastAsia" w:hAnsiTheme="minorEastAsia" w:eastAsiaTheme="minorEastAsia"/>
                <w:iCs/>
                <w:sz w:val="22"/>
              </w:rPr>
              <w:t>符</w:t>
            </w:r>
            <w:r>
              <w:rPr>
                <w:rFonts w:hint="eastAsia" w:asciiTheme="minorEastAsia" w:hAnsiTheme="minorEastAsia" w:eastAsiaTheme="minorEastAsia"/>
                <w:sz w:val="22"/>
              </w:rPr>
              <w:t>合国家现行</w:t>
            </w:r>
            <w:r>
              <w:rPr>
                <w:rFonts w:hint="eastAsia" w:asciiTheme="minorEastAsia" w:hAnsiTheme="minorEastAsia" w:eastAsiaTheme="minorEastAsia"/>
                <w:sz w:val="22"/>
                <w:u w:val="single"/>
              </w:rPr>
              <w:t xml:space="preserve"> 《民用运输机场建设工程项目可行性研究报告编制办法》 </w:t>
            </w:r>
            <w:r>
              <w:rPr>
                <w:rFonts w:hint="eastAsia" w:asciiTheme="minorEastAsia" w:hAnsiTheme="minorEastAsia" w:eastAsiaTheme="minorEastAsia"/>
                <w:sz w:val="22"/>
              </w:rPr>
              <w:t>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10</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踏勘现场</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sym w:font="Wingdings" w:char="F0FE"/>
            </w:r>
            <w:r>
              <w:rPr>
                <w:rFonts w:cs="Calibri" w:asciiTheme="minorEastAsia" w:hAnsiTheme="minorEastAsia" w:eastAsiaTheme="minorEastAsia"/>
                <w:kern w:val="0"/>
                <w:sz w:val="22"/>
              </w:rPr>
              <w:t>不组织</w:t>
            </w:r>
          </w:p>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□组织，踏勘时间：</w:t>
            </w:r>
          </w:p>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踏勘集中地点：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1</w:t>
            </w:r>
            <w:r>
              <w:rPr>
                <w:rFonts w:hint="eastAsia" w:cs="Calibri" w:asciiTheme="minorEastAsia" w:hAnsiTheme="minorEastAsia" w:eastAsiaTheme="minorEastAsia"/>
                <w:kern w:val="0"/>
                <w:sz w:val="22"/>
              </w:rPr>
              <w:t>1</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投标预备会</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sym w:font="Wingdings" w:char="F0FE"/>
            </w:r>
            <w:r>
              <w:rPr>
                <w:rFonts w:cs="Calibri" w:asciiTheme="minorEastAsia" w:hAnsiTheme="minorEastAsia" w:eastAsiaTheme="minorEastAsia"/>
                <w:kern w:val="0"/>
                <w:sz w:val="22"/>
              </w:rPr>
              <w:t>不召开</w:t>
            </w:r>
          </w:p>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□召开，召开时间：</w:t>
            </w:r>
          </w:p>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 xml:space="preserve">召开地点：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12</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投标人提出问题的截止时间</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hint="eastAsia" w:ascii="宋体" w:hAnsi="宋体" w:cs="Calibri"/>
                <w:kern w:val="0"/>
                <w:sz w:val="22"/>
              </w:rPr>
              <w:t>2019年</w:t>
            </w:r>
            <w:r>
              <w:rPr>
                <w:rFonts w:hint="eastAsia" w:ascii="宋体" w:hAnsi="宋体" w:cs="Calibri"/>
                <w:kern w:val="0"/>
                <w:sz w:val="22"/>
                <w:lang w:val="en-US" w:eastAsia="zh-CN"/>
              </w:rPr>
              <w:t>6</w:t>
            </w:r>
            <w:r>
              <w:rPr>
                <w:rFonts w:hint="eastAsia" w:ascii="宋体" w:hAnsi="宋体" w:cs="Calibri"/>
                <w:kern w:val="0"/>
                <w:sz w:val="22"/>
              </w:rPr>
              <w:t>月</w:t>
            </w:r>
            <w:r>
              <w:rPr>
                <w:rFonts w:hint="eastAsia" w:ascii="宋体" w:hAnsi="宋体" w:cs="Calibri"/>
                <w:kern w:val="0"/>
                <w:sz w:val="22"/>
                <w:lang w:val="en-US" w:eastAsia="zh-CN"/>
              </w:rPr>
              <w:t>17</w:t>
            </w:r>
            <w:r>
              <w:rPr>
                <w:rFonts w:hint="eastAsia" w:ascii="宋体" w:hAnsi="宋体" w:cs="Calibri"/>
                <w:kern w:val="0"/>
                <w:sz w:val="22"/>
              </w:rPr>
              <w:t>日11：30前，以书面加盖公章的形式通过E-mail或传真提交给招标人（投标联系人: 贾思勰，电话0571-86662723；传真：0571-86662736；电子邮箱：zbzx@hzairport.com）投标人必须在规定时间前提出对招标文件的疑问，否则招标人有权拒绝接收和拒绝回答未在截止时间前提出的疑问。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13</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投标截止时间</w:t>
            </w:r>
          </w:p>
        </w:tc>
        <w:tc>
          <w:tcPr>
            <w:tcW w:w="6488" w:type="dxa"/>
            <w:gridSpan w:val="2"/>
            <w:vAlign w:val="center"/>
          </w:tcPr>
          <w:p>
            <w:pPr>
              <w:autoSpaceDE w:val="0"/>
              <w:autoSpaceDN w:val="0"/>
              <w:adjustRightInd w:val="0"/>
              <w:snapToGrid w:val="0"/>
              <w:rPr>
                <w:rFonts w:hint="eastAsia" w:cs="Calibri" w:asciiTheme="minorEastAsia" w:hAnsiTheme="minorEastAsia" w:eastAsiaTheme="minorEastAsia"/>
                <w:b/>
                <w:kern w:val="0"/>
                <w:sz w:val="22"/>
                <w:lang w:eastAsia="zh-CN"/>
              </w:rPr>
            </w:pPr>
            <w:r>
              <w:rPr>
                <w:rFonts w:hint="eastAsia" w:cs="Calibri" w:asciiTheme="minorEastAsia" w:hAnsiTheme="minorEastAsia" w:eastAsiaTheme="minorEastAsia"/>
                <w:b/>
                <w:kern w:val="0"/>
                <w:sz w:val="22"/>
                <w:lang w:eastAsia="zh-CN"/>
              </w:rPr>
              <w:t>2019年6月24日下午14时00分（北京时间）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14</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投标人确认收到招标文件澄清的时间</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hint="eastAsia" w:ascii="宋体" w:hAnsi="宋体" w:cs="Calibri"/>
                <w:kern w:val="0"/>
                <w:sz w:val="22"/>
              </w:rPr>
              <w:t>招标人可主动地或在解答投标人提出的澄清问题时对招标文件进行修改，</w:t>
            </w:r>
            <w:bookmarkStart w:id="36" w:name="_Toc236586447"/>
            <w:bookmarkStart w:id="37" w:name="_Toc226175287"/>
            <w:r>
              <w:rPr>
                <w:rFonts w:hint="eastAsia" w:ascii="宋体" w:hAnsi="宋体" w:cs="Calibri"/>
                <w:kern w:val="0"/>
                <w:sz w:val="22"/>
              </w:rPr>
              <w:t>对招标文件的修改将以补充公告的形式发布，所有获得招标文件的投标人应自行关注网站公告，招标人不再一一通知。投标人因自身贻误行为导致投标失败的，责任自负。</w:t>
            </w:r>
            <w:bookmarkEnd w:id="36"/>
            <w:bookmarkEnd w:id="37"/>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15</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投标人确认收到招标文件修改的时间</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hint="eastAsia" w:ascii="宋体" w:hAnsi="宋体" w:cs="Calibri"/>
                <w:kern w:val="0"/>
                <w:sz w:val="22"/>
              </w:rPr>
              <w:t>招标人可主动地或在解答投标人提出的澄清问题时对招标文件进行修改，对招标文件的修改将以补充公告的形式发布，所有获得招标文件的投标人应自行关注网站公告，招标人不再一一通知。投标人因自身贻误行为导致投标失败的，责任自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16</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投标有效期</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12</w:t>
            </w:r>
            <w:r>
              <w:rPr>
                <w:rFonts w:cs="Calibri" w:asciiTheme="minorEastAsia" w:hAnsiTheme="minorEastAsia" w:eastAsiaTheme="minorEastAsia"/>
                <w:kern w:val="0"/>
                <w:sz w:val="22"/>
              </w:rPr>
              <w:t>0日历天（从投标截止之日算起）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17</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投标保证金</w:t>
            </w:r>
          </w:p>
        </w:tc>
        <w:tc>
          <w:tcPr>
            <w:tcW w:w="6488" w:type="dxa"/>
            <w:gridSpan w:val="2"/>
            <w:vAlign w:val="center"/>
          </w:tcPr>
          <w:p>
            <w:pPr>
              <w:snapToGrid w:val="0"/>
              <w:rPr>
                <w:rFonts w:asciiTheme="minorEastAsia" w:hAnsiTheme="minorEastAsia" w:eastAsiaTheme="minorEastAsia"/>
                <w:sz w:val="22"/>
                <w:lang w:val="zh-CN"/>
              </w:rPr>
            </w:pPr>
            <w:r>
              <w:rPr>
                <w:rFonts w:hint="eastAsia" w:asciiTheme="minorEastAsia" w:hAnsiTheme="minorEastAsia" w:eastAsiaTheme="minorEastAsia"/>
                <w:sz w:val="22"/>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18</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签字或盖章要求</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b/>
                <w:kern w:val="0"/>
                <w:sz w:val="22"/>
              </w:rPr>
              <w:t>投标文件封面（或扉页）、投标函以及各类报价表</w:t>
            </w:r>
            <w:r>
              <w:rPr>
                <w:rFonts w:cs="Calibri" w:asciiTheme="minorEastAsia" w:hAnsiTheme="minorEastAsia" w:eastAsiaTheme="minorEastAsia"/>
                <w:kern w:val="0"/>
                <w:sz w:val="22"/>
              </w:rPr>
              <w:t>均须加盖投标人单位章，并经法定代表人（或其委托代理人）签字或盖章。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19</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投标文件副本份数</w:t>
            </w:r>
          </w:p>
        </w:tc>
        <w:tc>
          <w:tcPr>
            <w:tcW w:w="6488" w:type="dxa"/>
            <w:gridSpan w:val="2"/>
            <w:vAlign w:val="center"/>
          </w:tcPr>
          <w:p>
            <w:pPr>
              <w:autoSpaceDE w:val="0"/>
              <w:autoSpaceDN w:val="0"/>
              <w:adjustRightInd w:val="0"/>
              <w:snapToGrid w:val="0"/>
              <w:rPr>
                <w:rFonts w:ascii="宋体" w:hAnsi="宋体" w:cs="Calibri"/>
                <w:kern w:val="0"/>
                <w:sz w:val="22"/>
              </w:rPr>
            </w:pPr>
            <w:r>
              <w:rPr>
                <w:rFonts w:hint="eastAsia" w:ascii="宋体" w:hAnsi="宋体" w:cs="Calibri"/>
                <w:kern w:val="0"/>
                <w:sz w:val="22"/>
              </w:rPr>
              <w:t>正本一份，</w:t>
            </w:r>
            <w:r>
              <w:rPr>
                <w:rFonts w:ascii="宋体" w:hAnsi="宋体" w:cs="Calibri"/>
                <w:kern w:val="0"/>
                <w:sz w:val="22"/>
              </w:rPr>
              <w:t>副本</w:t>
            </w:r>
            <w:r>
              <w:rPr>
                <w:rFonts w:hint="eastAsia" w:ascii="宋体" w:hAnsi="宋体" w:cs="Calibri"/>
                <w:kern w:val="0"/>
                <w:sz w:val="22"/>
              </w:rPr>
              <w:t>二</w:t>
            </w:r>
            <w:r>
              <w:rPr>
                <w:rFonts w:ascii="宋体" w:hAnsi="宋体" w:cs="Calibri"/>
                <w:kern w:val="0"/>
                <w:sz w:val="22"/>
              </w:rPr>
              <w:t>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20</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装订要求</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按照投标人须知约定的投标文件组成内容，投标文件应按以下要求装订：</w:t>
            </w:r>
          </w:p>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sym w:font="Wingdings" w:char="F0FE"/>
            </w:r>
            <w:r>
              <w:rPr>
                <w:rFonts w:cs="Calibri" w:asciiTheme="minorEastAsia" w:hAnsiTheme="minorEastAsia" w:eastAsiaTheme="minorEastAsia"/>
                <w:kern w:val="0"/>
                <w:sz w:val="22"/>
              </w:rPr>
              <w:t>不分册装订</w:t>
            </w:r>
          </w:p>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□分册装订</w:t>
            </w:r>
          </w:p>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每册采用</w:t>
            </w:r>
            <w:r>
              <w:rPr>
                <w:rFonts w:cs="Calibri" w:asciiTheme="minorEastAsia" w:hAnsiTheme="minorEastAsia" w:eastAsiaTheme="minorEastAsia"/>
                <w:kern w:val="0"/>
                <w:sz w:val="22"/>
                <w:u w:val="single"/>
              </w:rPr>
              <w:t xml:space="preserve"> 胶装 </w:t>
            </w:r>
            <w:r>
              <w:rPr>
                <w:rFonts w:cs="Calibri" w:asciiTheme="minorEastAsia" w:hAnsiTheme="minorEastAsia" w:eastAsiaTheme="minorEastAsia"/>
                <w:kern w:val="0"/>
                <w:sz w:val="22"/>
              </w:rPr>
              <w:t>方式装订，装订应牢固、不易拆散和换页，不得采用活页装订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21</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封套上写明</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招标人的地址：</w:t>
            </w:r>
            <w:r>
              <w:rPr>
                <w:rFonts w:hint="eastAsia" w:asciiTheme="minorEastAsia" w:hAnsiTheme="minorEastAsia" w:eastAsiaTheme="minorEastAsia"/>
                <w:sz w:val="22"/>
                <w:u w:val="single"/>
              </w:rPr>
              <w:t>杭州萧山国际机场内</w:t>
            </w:r>
          </w:p>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招标人名称：</w:t>
            </w:r>
            <w:r>
              <w:rPr>
                <w:rFonts w:cs="Calibri" w:asciiTheme="minorEastAsia" w:hAnsiTheme="minorEastAsia" w:eastAsiaTheme="minorEastAsia"/>
                <w:kern w:val="0"/>
                <w:sz w:val="22"/>
                <w:u w:val="single"/>
              </w:rPr>
              <w:t>杭州萧山国际机场有限公司</w:t>
            </w:r>
          </w:p>
          <w:p>
            <w:pPr>
              <w:autoSpaceDE w:val="0"/>
              <w:autoSpaceDN w:val="0"/>
              <w:adjustRightInd w:val="0"/>
              <w:snapToGrid w:val="0"/>
              <w:rPr>
                <w:rFonts w:cs="Calibri" w:asciiTheme="minorEastAsia" w:hAnsiTheme="minorEastAsia" w:eastAsiaTheme="minorEastAsia"/>
                <w:kern w:val="0"/>
                <w:sz w:val="22"/>
              </w:rPr>
            </w:pPr>
            <w:r>
              <w:rPr>
                <w:rFonts w:hint="eastAsia" w:cs="宋体" w:asciiTheme="minorEastAsia" w:hAnsiTheme="minorEastAsia" w:eastAsiaTheme="minorEastAsia"/>
                <w:sz w:val="22"/>
              </w:rPr>
              <w:t>项目名称：</w:t>
            </w:r>
            <w:r>
              <w:rPr>
                <w:rFonts w:hint="eastAsia" w:cs="Calibri" w:asciiTheme="minorEastAsia" w:hAnsiTheme="minorEastAsia" w:eastAsiaTheme="minorEastAsia"/>
                <w:kern w:val="0"/>
                <w:sz w:val="22"/>
                <w:u w:val="single"/>
              </w:rPr>
              <w:t>杭州萧山国际机场东区国内货站</w:t>
            </w:r>
            <w:r>
              <w:rPr>
                <w:rFonts w:cs="Calibri" w:asciiTheme="minorEastAsia" w:hAnsiTheme="minorEastAsia" w:eastAsiaTheme="minorEastAsia"/>
                <w:kern w:val="0"/>
                <w:sz w:val="22"/>
                <w:u w:val="single"/>
              </w:rPr>
              <w:t>项目</w:t>
            </w:r>
            <w:r>
              <w:rPr>
                <w:rFonts w:hint="eastAsia" w:cs="Calibri" w:asciiTheme="minorEastAsia" w:hAnsiTheme="minorEastAsia" w:eastAsiaTheme="minorEastAsia"/>
                <w:kern w:val="0"/>
                <w:sz w:val="22"/>
                <w:u w:val="single"/>
              </w:rPr>
              <w:t>可行性研究报告编制</w:t>
            </w:r>
            <w:r>
              <w:rPr>
                <w:rFonts w:hint="eastAsia" w:cs="宋体" w:asciiTheme="minorEastAsia" w:hAnsiTheme="minorEastAsia" w:eastAsiaTheme="minorEastAsia"/>
                <w:sz w:val="22"/>
              </w:rPr>
              <w:t>投标文件</w:t>
            </w:r>
          </w:p>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在</w:t>
            </w:r>
            <w:r>
              <w:rPr>
                <w:rFonts w:cs="Calibri" w:asciiTheme="minorEastAsia" w:hAnsiTheme="minorEastAsia" w:eastAsiaTheme="minorEastAsia"/>
                <w:kern w:val="0"/>
                <w:sz w:val="22"/>
                <w:u w:val="single"/>
              </w:rPr>
              <w:t xml:space="preserve"> </w:t>
            </w:r>
            <w:r>
              <w:rPr>
                <w:rFonts w:hint="eastAsia" w:cs="Calibri" w:asciiTheme="minorEastAsia" w:hAnsiTheme="minorEastAsia" w:eastAsiaTheme="minorEastAsia"/>
                <w:kern w:val="0"/>
                <w:sz w:val="22"/>
                <w:u w:val="single"/>
              </w:rPr>
              <w:t>2019</w:t>
            </w:r>
            <w:r>
              <w:rPr>
                <w:rFonts w:cs="Calibri" w:asciiTheme="minorEastAsia" w:hAnsiTheme="minorEastAsia" w:eastAsiaTheme="minorEastAsia"/>
                <w:kern w:val="0"/>
                <w:sz w:val="22"/>
                <w:u w:val="single"/>
              </w:rPr>
              <w:t xml:space="preserve">  </w:t>
            </w:r>
            <w:r>
              <w:rPr>
                <w:rFonts w:cs="Calibri" w:asciiTheme="minorEastAsia" w:hAnsiTheme="minorEastAsia" w:eastAsiaTheme="minorEastAsia"/>
                <w:kern w:val="0"/>
                <w:sz w:val="22"/>
              </w:rPr>
              <w:t>年</w:t>
            </w:r>
            <w:r>
              <w:rPr>
                <w:rFonts w:cs="Calibri" w:asciiTheme="minorEastAsia" w:hAnsiTheme="minorEastAsia" w:eastAsiaTheme="minorEastAsia"/>
                <w:kern w:val="0"/>
                <w:sz w:val="22"/>
                <w:u w:val="single"/>
              </w:rPr>
              <w:t xml:space="preserve"> </w:t>
            </w:r>
            <w:r>
              <w:rPr>
                <w:rFonts w:hint="eastAsia" w:cs="Calibri" w:asciiTheme="minorEastAsia" w:hAnsiTheme="minorEastAsia" w:eastAsiaTheme="minorEastAsia"/>
                <w:kern w:val="0"/>
                <w:sz w:val="22"/>
                <w:u w:val="single"/>
                <w:lang w:val="en-US" w:eastAsia="zh-CN"/>
              </w:rPr>
              <w:t>6</w:t>
            </w:r>
            <w:r>
              <w:rPr>
                <w:rFonts w:cs="Calibri" w:asciiTheme="minorEastAsia" w:hAnsiTheme="minorEastAsia" w:eastAsiaTheme="minorEastAsia"/>
                <w:kern w:val="0"/>
                <w:sz w:val="22"/>
                <w:u w:val="single"/>
              </w:rPr>
              <w:t xml:space="preserve"> </w:t>
            </w:r>
            <w:r>
              <w:rPr>
                <w:rFonts w:cs="Calibri" w:asciiTheme="minorEastAsia" w:hAnsiTheme="minorEastAsia" w:eastAsiaTheme="minorEastAsia"/>
                <w:kern w:val="0"/>
                <w:sz w:val="22"/>
              </w:rPr>
              <w:t>月</w:t>
            </w:r>
            <w:r>
              <w:rPr>
                <w:rFonts w:cs="Calibri" w:asciiTheme="minorEastAsia" w:hAnsiTheme="minorEastAsia" w:eastAsiaTheme="minorEastAsia"/>
                <w:kern w:val="0"/>
                <w:sz w:val="22"/>
                <w:u w:val="single"/>
              </w:rPr>
              <w:t xml:space="preserve"> </w:t>
            </w:r>
            <w:r>
              <w:rPr>
                <w:rFonts w:hint="eastAsia" w:cs="Calibri" w:asciiTheme="minorEastAsia" w:hAnsiTheme="minorEastAsia" w:eastAsiaTheme="minorEastAsia"/>
                <w:kern w:val="0"/>
                <w:sz w:val="22"/>
                <w:u w:val="single"/>
                <w:lang w:val="en-US" w:eastAsia="zh-CN"/>
              </w:rPr>
              <w:t>24</w:t>
            </w:r>
            <w:r>
              <w:rPr>
                <w:rFonts w:cs="Calibri" w:asciiTheme="minorEastAsia" w:hAnsiTheme="minorEastAsia" w:eastAsiaTheme="minorEastAsia"/>
                <w:kern w:val="0"/>
                <w:sz w:val="22"/>
                <w:u w:val="single"/>
              </w:rPr>
              <w:t xml:space="preserve"> </w:t>
            </w:r>
            <w:r>
              <w:rPr>
                <w:rFonts w:cs="Calibri" w:asciiTheme="minorEastAsia" w:hAnsiTheme="minorEastAsia" w:eastAsiaTheme="minorEastAsia"/>
                <w:kern w:val="0"/>
                <w:sz w:val="22"/>
              </w:rPr>
              <w:t>日</w:t>
            </w:r>
            <w:r>
              <w:rPr>
                <w:rFonts w:cs="Calibri" w:asciiTheme="minorEastAsia" w:hAnsiTheme="minorEastAsia" w:eastAsiaTheme="minorEastAsia"/>
                <w:kern w:val="0"/>
                <w:sz w:val="22"/>
                <w:u w:val="single"/>
              </w:rPr>
              <w:t xml:space="preserve"> </w:t>
            </w:r>
            <w:r>
              <w:rPr>
                <w:rFonts w:hint="eastAsia" w:cs="Calibri" w:asciiTheme="minorEastAsia" w:hAnsiTheme="minorEastAsia" w:eastAsiaTheme="minorEastAsia"/>
                <w:kern w:val="0"/>
                <w:sz w:val="22"/>
                <w:u w:val="single"/>
                <w:lang w:val="en-US" w:eastAsia="zh-CN"/>
              </w:rPr>
              <w:t>14</w:t>
            </w:r>
            <w:r>
              <w:rPr>
                <w:rFonts w:cs="Calibri" w:asciiTheme="minorEastAsia" w:hAnsiTheme="minorEastAsia" w:eastAsiaTheme="minorEastAsia"/>
                <w:kern w:val="0"/>
                <w:sz w:val="22"/>
                <w:u w:val="single"/>
              </w:rPr>
              <w:t xml:space="preserve"> </w:t>
            </w:r>
            <w:r>
              <w:rPr>
                <w:rFonts w:cs="Calibri" w:asciiTheme="minorEastAsia" w:hAnsiTheme="minorEastAsia" w:eastAsiaTheme="minorEastAsia"/>
                <w:kern w:val="0"/>
                <w:sz w:val="22"/>
              </w:rPr>
              <w:t>时</w:t>
            </w:r>
            <w:r>
              <w:rPr>
                <w:rFonts w:cs="Calibri" w:asciiTheme="minorEastAsia" w:hAnsiTheme="minorEastAsia" w:eastAsiaTheme="minorEastAsia"/>
                <w:kern w:val="0"/>
                <w:sz w:val="22"/>
                <w:u w:val="single"/>
              </w:rPr>
              <w:t xml:space="preserve"> </w:t>
            </w:r>
            <w:r>
              <w:rPr>
                <w:rFonts w:hint="eastAsia" w:cs="Calibri" w:asciiTheme="minorEastAsia" w:hAnsiTheme="minorEastAsia" w:eastAsiaTheme="minorEastAsia"/>
                <w:kern w:val="0"/>
                <w:sz w:val="22"/>
                <w:u w:val="single"/>
                <w:lang w:val="en-US" w:eastAsia="zh-CN"/>
              </w:rPr>
              <w:t>00</w:t>
            </w:r>
            <w:bookmarkStart w:id="122" w:name="_GoBack"/>
            <w:bookmarkEnd w:id="122"/>
            <w:r>
              <w:rPr>
                <w:rFonts w:cs="Calibri" w:asciiTheme="minorEastAsia" w:hAnsiTheme="minorEastAsia" w:eastAsiaTheme="minorEastAsia"/>
                <w:kern w:val="0"/>
                <w:sz w:val="22"/>
                <w:u w:val="single"/>
              </w:rPr>
              <w:t xml:space="preserve"> </w:t>
            </w:r>
            <w:r>
              <w:rPr>
                <w:rFonts w:cs="Calibri" w:asciiTheme="minorEastAsia" w:hAnsiTheme="minorEastAsia" w:eastAsiaTheme="minorEastAsia"/>
                <w:kern w:val="0"/>
                <w:sz w:val="22"/>
              </w:rPr>
              <w:t>分（即开标时间）前不得开启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22</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递交投标文件地点</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hint="eastAsia" w:ascii="宋体" w:hAnsi="宋体"/>
                <w:b/>
                <w:bCs/>
                <w:szCs w:val="21"/>
              </w:rPr>
              <w:t>杭州萧山国际机场翔越路综合服务楼园区招标中心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23</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是否退还投标文件</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sym w:font="Wingdings" w:char="F0FE"/>
            </w:r>
            <w:r>
              <w:rPr>
                <w:rFonts w:cs="Calibri" w:asciiTheme="minorEastAsia" w:hAnsiTheme="minorEastAsia" w:eastAsiaTheme="minorEastAsia"/>
                <w:kern w:val="0"/>
                <w:sz w:val="22"/>
              </w:rPr>
              <w:t>否</w:t>
            </w:r>
          </w:p>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24</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开标时间和地点</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开标时间：同投标截止时间</w:t>
            </w:r>
          </w:p>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开标地点：同递交投标文件地点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25</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开标程序</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w:t>
            </w:r>
            <w:r>
              <w:rPr>
                <w:rFonts w:hint="eastAsia" w:cs="Calibri" w:asciiTheme="minorEastAsia" w:hAnsiTheme="minorEastAsia" w:eastAsiaTheme="minorEastAsia"/>
                <w:kern w:val="0"/>
                <w:sz w:val="22"/>
              </w:rPr>
              <w:t>1</w:t>
            </w:r>
            <w:r>
              <w:rPr>
                <w:rFonts w:cs="Calibri" w:asciiTheme="minorEastAsia" w:hAnsiTheme="minorEastAsia" w:eastAsiaTheme="minorEastAsia"/>
                <w:kern w:val="0"/>
                <w:sz w:val="22"/>
              </w:rPr>
              <w:t>）密封情况检查：由投标人或者其集体推选的代表检查投标文件的密封情况。</w:t>
            </w:r>
          </w:p>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w:t>
            </w:r>
            <w:r>
              <w:rPr>
                <w:rFonts w:hint="eastAsia" w:cs="Calibri" w:asciiTheme="minorEastAsia" w:hAnsiTheme="minorEastAsia" w:eastAsiaTheme="minorEastAsia"/>
                <w:kern w:val="0"/>
                <w:sz w:val="22"/>
              </w:rPr>
              <w:t>2</w:t>
            </w:r>
            <w:r>
              <w:rPr>
                <w:rFonts w:cs="Calibri" w:asciiTheme="minorEastAsia" w:hAnsiTheme="minorEastAsia" w:eastAsiaTheme="minorEastAsia"/>
                <w:kern w:val="0"/>
                <w:sz w:val="22"/>
              </w:rPr>
              <w:t>）开标顺序：按照后送达先开的顺序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26</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评标委员会的组建</w:t>
            </w:r>
          </w:p>
        </w:tc>
        <w:tc>
          <w:tcPr>
            <w:tcW w:w="6488" w:type="dxa"/>
            <w:gridSpan w:val="2"/>
            <w:vAlign w:val="center"/>
          </w:tcPr>
          <w:p>
            <w:pPr>
              <w:autoSpaceDE w:val="0"/>
              <w:autoSpaceDN w:val="0"/>
              <w:adjustRightInd w:val="0"/>
              <w:snapToGrid w:val="0"/>
              <w:jc w:val="left"/>
              <w:rPr>
                <w:rFonts w:asciiTheme="minorEastAsia" w:hAnsiTheme="minorEastAsia" w:eastAsiaTheme="minorEastAsia"/>
                <w:sz w:val="22"/>
              </w:rPr>
            </w:pPr>
            <w:r>
              <w:rPr>
                <w:rFonts w:hint="eastAsia" w:asciiTheme="minorEastAsia" w:hAnsiTheme="minorEastAsia" w:eastAsiaTheme="minorEastAsia"/>
                <w:sz w:val="22"/>
              </w:rPr>
              <w:t>评标委员会构成</w:t>
            </w:r>
            <w:r>
              <w:rPr>
                <w:rFonts w:hint="eastAsia" w:cs="Calibri" w:asciiTheme="minorEastAsia" w:hAnsiTheme="minorEastAsia" w:eastAsiaTheme="minorEastAsia"/>
                <w:kern w:val="0"/>
                <w:sz w:val="22"/>
              </w:rPr>
              <w:t>：3</w:t>
            </w:r>
            <w:r>
              <w:rPr>
                <w:rFonts w:hint="eastAsia" w:asciiTheme="minorEastAsia" w:hAnsiTheme="minorEastAsia" w:eastAsiaTheme="minorEastAsia"/>
                <w:sz w:val="22"/>
              </w:rPr>
              <w:t>人及以上单数</w:t>
            </w:r>
          </w:p>
          <w:p>
            <w:pPr>
              <w:autoSpaceDE w:val="0"/>
              <w:autoSpaceDN w:val="0"/>
              <w:adjustRightInd w:val="0"/>
              <w:snapToGrid w:val="0"/>
              <w:jc w:val="left"/>
              <w:rPr>
                <w:rFonts w:asciiTheme="minorEastAsia" w:hAnsiTheme="minorEastAsia" w:eastAsiaTheme="minorEastAsia"/>
                <w:sz w:val="22"/>
              </w:rPr>
            </w:pPr>
            <w:r>
              <w:rPr>
                <w:rFonts w:hint="eastAsia" w:asciiTheme="minorEastAsia" w:hAnsiTheme="minorEastAsia" w:eastAsiaTheme="minorEastAsia"/>
                <w:sz w:val="22"/>
              </w:rPr>
              <w:t>评标专家确定方式：</w:t>
            </w:r>
            <w:r>
              <w:rPr>
                <w:rFonts w:hint="eastAsia" w:asciiTheme="minorEastAsia" w:hAnsiTheme="minorEastAsia"/>
                <w:sz w:val="22"/>
              </w:rPr>
              <w:t>评标委员会由招标人自行组建。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27</w:t>
            </w:r>
          </w:p>
        </w:tc>
        <w:tc>
          <w:tcPr>
            <w:tcW w:w="2004"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cs="Calibri" w:asciiTheme="minorEastAsia" w:hAnsiTheme="minorEastAsia" w:eastAsiaTheme="minorEastAsia"/>
                <w:kern w:val="0"/>
                <w:sz w:val="22"/>
              </w:rPr>
              <w:t>是否授权评标委员会确定中标人</w:t>
            </w:r>
          </w:p>
        </w:tc>
        <w:tc>
          <w:tcPr>
            <w:tcW w:w="6488" w:type="dxa"/>
            <w:gridSpan w:val="2"/>
            <w:vAlign w:val="center"/>
          </w:tcPr>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□是</w:t>
            </w:r>
          </w:p>
          <w:p>
            <w:pPr>
              <w:autoSpaceDE w:val="0"/>
              <w:autoSpaceDN w:val="0"/>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sym w:font="Wingdings" w:char="F0FE"/>
            </w:r>
            <w:r>
              <w:rPr>
                <w:rFonts w:cs="Calibri" w:asciiTheme="minorEastAsia" w:hAnsiTheme="minorEastAsia" w:eastAsiaTheme="minorEastAsia"/>
                <w:kern w:val="0"/>
                <w:sz w:val="22"/>
              </w:rPr>
              <w:t>否，推荐的中标候选人数：2人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7" w:type="dxa"/>
          <w:trHeight w:val="340" w:hRule="atLeast"/>
          <w:jc w:val="center"/>
        </w:trPr>
        <w:tc>
          <w:tcPr>
            <w:tcW w:w="950" w:type="dxa"/>
            <w:tcBorders>
              <w:top w:val="single" w:color="auto" w:sz="12" w:space="0"/>
              <w:left w:val="single" w:color="auto" w:sz="12" w:space="0"/>
              <w:bottom w:val="single" w:color="auto" w:sz="12" w:space="0"/>
              <w:right w:val="single" w:color="auto" w:sz="4" w:space="0"/>
            </w:tcBorders>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28</w:t>
            </w:r>
          </w:p>
        </w:tc>
        <w:tc>
          <w:tcPr>
            <w:tcW w:w="2004" w:type="dxa"/>
            <w:tcBorders>
              <w:top w:val="single" w:color="auto" w:sz="12" w:space="0"/>
              <w:left w:val="single" w:color="auto" w:sz="4" w:space="0"/>
              <w:bottom w:val="single" w:color="auto" w:sz="12" w:space="0"/>
              <w:right w:val="single" w:color="auto" w:sz="4" w:space="0"/>
            </w:tcBorders>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履约担保</w:t>
            </w:r>
          </w:p>
        </w:tc>
        <w:tc>
          <w:tcPr>
            <w:tcW w:w="6481" w:type="dxa"/>
            <w:tcBorders>
              <w:top w:val="single" w:color="auto" w:sz="12" w:space="0"/>
              <w:left w:val="single" w:color="auto" w:sz="4" w:space="0"/>
              <w:bottom w:val="single" w:color="auto" w:sz="12" w:space="0"/>
              <w:right w:val="single" w:color="auto" w:sz="12" w:space="0"/>
            </w:tcBorders>
            <w:vAlign w:val="center"/>
          </w:tcPr>
          <w:p>
            <w:pPr>
              <w:autoSpaceDE w:val="0"/>
              <w:autoSpaceDN w:val="0"/>
              <w:adjustRightInd w:val="0"/>
              <w:snapToGrid w:val="0"/>
              <w:jc w:val="left"/>
              <w:rPr>
                <w:rFonts w:asciiTheme="minorEastAsia" w:hAnsiTheme="minorEastAsia" w:eastAsiaTheme="minorEastAsia"/>
                <w:sz w:val="22"/>
              </w:rPr>
            </w:pPr>
            <w:r>
              <w:rPr>
                <w:rFonts w:hint="eastAsia" w:asciiTheme="minorEastAsia" w:hAnsiTheme="minorEastAsia" w:eastAsiaTheme="minorEastAsia"/>
                <w:sz w:val="22"/>
              </w:rPr>
              <w:t>履约担保的形式：银行转账</w:t>
            </w:r>
          </w:p>
          <w:p>
            <w:pPr>
              <w:autoSpaceDE w:val="0"/>
              <w:autoSpaceDN w:val="0"/>
              <w:adjustRightInd w:val="0"/>
              <w:snapToGrid w:val="0"/>
              <w:jc w:val="left"/>
              <w:rPr>
                <w:rFonts w:asciiTheme="minorEastAsia" w:hAnsiTheme="minorEastAsia" w:eastAsiaTheme="minorEastAsia"/>
                <w:sz w:val="22"/>
              </w:rPr>
            </w:pPr>
            <w:r>
              <w:rPr>
                <w:rFonts w:hint="eastAsia" w:asciiTheme="minorEastAsia" w:hAnsiTheme="minorEastAsia" w:eastAsiaTheme="minorEastAsia"/>
                <w:sz w:val="22"/>
              </w:rPr>
              <w:t>履约担保的金额：合同总价的10%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442" w:type="dxa"/>
            <w:gridSpan w:val="4"/>
            <w:vAlign w:val="center"/>
          </w:tcPr>
          <w:p>
            <w:pPr>
              <w:autoSpaceDE w:val="0"/>
              <w:autoSpaceDN w:val="0"/>
              <w:adjustRightInd w:val="0"/>
              <w:snapToGrid w:val="0"/>
              <w:jc w:val="center"/>
              <w:rPr>
                <w:rFonts w:cs="Calibri" w:asciiTheme="minorEastAsia" w:hAnsiTheme="minorEastAsia" w:eastAsiaTheme="minorEastAsia"/>
                <w:snapToGrid w:val="0"/>
                <w:sz w:val="22"/>
              </w:rPr>
            </w:pPr>
            <w:r>
              <w:rPr>
                <w:rFonts w:cs="Calibri" w:asciiTheme="minorEastAsia" w:hAnsiTheme="minorEastAsia" w:eastAsiaTheme="minorEastAsia"/>
                <w:kern w:val="0"/>
                <w:sz w:val="22"/>
              </w:rPr>
              <w:t>需要补充的其他内容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380"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29</w:t>
            </w:r>
          </w:p>
        </w:tc>
        <w:tc>
          <w:tcPr>
            <w:tcW w:w="2004" w:type="dxa"/>
            <w:vAlign w:val="center"/>
          </w:tcPr>
          <w:p>
            <w:pPr>
              <w:pStyle w:val="43"/>
              <w:adjustRightInd w:val="0"/>
              <w:snapToGrid w:val="0"/>
              <w:spacing w:line="240" w:lineRule="auto"/>
              <w:jc w:val="center"/>
              <w:rPr>
                <w:rFonts w:cs="Calibri" w:asciiTheme="minorEastAsia" w:hAnsiTheme="minorEastAsia" w:eastAsiaTheme="minorEastAsia"/>
                <w:color w:val="auto"/>
                <w:sz w:val="22"/>
                <w:szCs w:val="22"/>
              </w:rPr>
            </w:pPr>
            <w:r>
              <w:rPr>
                <w:rFonts w:cs="Calibri" w:asciiTheme="minorEastAsia" w:hAnsiTheme="minorEastAsia" w:eastAsiaTheme="minorEastAsia"/>
                <w:color w:val="auto"/>
                <w:sz w:val="22"/>
                <w:szCs w:val="22"/>
              </w:rPr>
              <w:t>其他</w:t>
            </w:r>
          </w:p>
        </w:tc>
        <w:tc>
          <w:tcPr>
            <w:tcW w:w="6488" w:type="dxa"/>
            <w:gridSpan w:val="2"/>
            <w:shd w:val="clear" w:color="auto" w:fill="FFFFFF"/>
            <w:vAlign w:val="center"/>
          </w:tcPr>
          <w:p>
            <w:pPr>
              <w:adjustRightInd w:val="0"/>
              <w:snapToGrid w:val="0"/>
              <w:rPr>
                <w:rFonts w:cs="Calibri" w:asciiTheme="minorEastAsia" w:hAnsiTheme="minorEastAsia" w:eastAsiaTheme="minorEastAsia"/>
                <w:snapToGrid w:val="0"/>
                <w:kern w:val="0"/>
                <w:sz w:val="22"/>
              </w:rPr>
            </w:pPr>
            <w:r>
              <w:rPr>
                <w:rFonts w:cs="Calibri" w:asciiTheme="minorEastAsia" w:hAnsiTheme="minorEastAsia" w:eastAsiaTheme="minorEastAsia"/>
                <w:snapToGrid w:val="0"/>
                <w:kern w:val="0"/>
                <w:sz w:val="22"/>
              </w:rPr>
              <w:t>1、投标人如发现招标文件及其评标办法中存在含糊不清、相互矛盾、多种含义以及歧视性不公正条款或违法违规等内容时，请在投标截止十日前向招标人书面反映，逾期不得再对招标文件的条款提出</w:t>
            </w:r>
            <w:r>
              <w:rPr>
                <w:rFonts w:hint="eastAsia" w:cs="Calibri" w:asciiTheme="minorEastAsia" w:hAnsiTheme="minorEastAsia" w:eastAsiaTheme="minorEastAsia"/>
                <w:snapToGrid w:val="0"/>
                <w:kern w:val="0"/>
                <w:sz w:val="22"/>
              </w:rPr>
              <w:t>异议</w:t>
            </w:r>
            <w:r>
              <w:rPr>
                <w:rFonts w:cs="Calibri" w:asciiTheme="minorEastAsia" w:hAnsiTheme="minorEastAsia" w:eastAsiaTheme="minorEastAsia"/>
                <w:snapToGrid w:val="0"/>
                <w:kern w:val="0"/>
                <w:sz w:val="22"/>
              </w:rPr>
              <w:t>。</w:t>
            </w:r>
          </w:p>
          <w:p>
            <w:pPr>
              <w:adjustRightInd w:val="0"/>
              <w:snapToGrid w:val="0"/>
              <w:rPr>
                <w:rFonts w:cs="Calibri" w:asciiTheme="minorEastAsia" w:hAnsiTheme="minorEastAsia" w:eastAsiaTheme="minorEastAsia"/>
                <w:snapToGrid w:val="0"/>
                <w:kern w:val="0"/>
                <w:sz w:val="22"/>
              </w:rPr>
            </w:pPr>
            <w:r>
              <w:rPr>
                <w:rFonts w:cs="Calibri" w:asciiTheme="minorEastAsia" w:hAnsiTheme="minorEastAsia" w:eastAsiaTheme="minorEastAsia"/>
                <w:snapToGrid w:val="0"/>
                <w:kern w:val="0"/>
                <w:sz w:val="22"/>
              </w:rPr>
              <w:t>2、本前附表内容与招标文件其他内容不一致之处，以本前附表为准。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950" w:type="dxa"/>
            <w:vAlign w:val="center"/>
          </w:tcPr>
          <w:p>
            <w:pPr>
              <w:autoSpaceDE w:val="0"/>
              <w:autoSpaceDN w:val="0"/>
              <w:adjustRightInd w:val="0"/>
              <w:snapToGrid w:val="0"/>
              <w:jc w:val="center"/>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30</w:t>
            </w:r>
          </w:p>
        </w:tc>
        <w:tc>
          <w:tcPr>
            <w:tcW w:w="2004" w:type="dxa"/>
            <w:vAlign w:val="center"/>
          </w:tcPr>
          <w:p>
            <w:pPr>
              <w:pStyle w:val="43"/>
              <w:spacing w:line="240" w:lineRule="auto"/>
              <w:jc w:val="center"/>
              <w:rPr>
                <w:rFonts w:cs="Calibri" w:asciiTheme="minorEastAsia" w:hAnsiTheme="minorEastAsia" w:eastAsiaTheme="minorEastAsia"/>
                <w:snapToGrid/>
                <w:color w:val="auto"/>
                <w:sz w:val="22"/>
                <w:szCs w:val="22"/>
              </w:rPr>
            </w:pPr>
            <w:r>
              <w:rPr>
                <w:rFonts w:hint="eastAsia" w:cs="Calibri" w:asciiTheme="minorEastAsia" w:hAnsiTheme="minorEastAsia" w:eastAsiaTheme="minorEastAsia"/>
                <w:snapToGrid/>
                <w:color w:val="auto"/>
                <w:sz w:val="22"/>
                <w:szCs w:val="22"/>
              </w:rPr>
              <w:t>备注</w:t>
            </w:r>
          </w:p>
        </w:tc>
        <w:tc>
          <w:tcPr>
            <w:tcW w:w="6488" w:type="dxa"/>
            <w:gridSpan w:val="2"/>
            <w:shd w:val="clear" w:color="auto" w:fill="FFFFFF"/>
            <w:vAlign w:val="center"/>
          </w:tcPr>
          <w:p>
            <w:pPr>
              <w:adjustRightInd w:val="0"/>
              <w:snapToGrid w:val="0"/>
              <w:rPr>
                <w:rFonts w:cs="Calibri" w:asciiTheme="minorEastAsia" w:hAnsiTheme="minorEastAsia" w:eastAsiaTheme="minorEastAsia"/>
                <w:kern w:val="0"/>
                <w:sz w:val="22"/>
              </w:rPr>
            </w:pPr>
            <w:r>
              <w:rPr>
                <w:rFonts w:cs="Calibri" w:asciiTheme="minorEastAsia" w:hAnsiTheme="minorEastAsia" w:eastAsiaTheme="minorEastAsia"/>
                <w:kern w:val="0"/>
                <w:sz w:val="22"/>
              </w:rPr>
              <w:t>本前附表内容与招标文件其他内容不一致之处，以本前附表为准。</w:t>
            </w:r>
          </w:p>
        </w:tc>
      </w:tr>
      <w:bookmarkEnd w:id="1"/>
      <w:bookmarkEnd w:id="2"/>
    </w:tbl>
    <w:p>
      <w:pPr>
        <w:autoSpaceDE w:val="0"/>
        <w:autoSpaceDN w:val="0"/>
        <w:adjustRightInd w:val="0"/>
        <w:spacing w:line="360" w:lineRule="exact"/>
        <w:ind w:firstLine="422" w:firstLineChars="200"/>
        <w:rPr>
          <w:rFonts w:eastAsia="黑体" w:cs="Calibri"/>
          <w:b/>
          <w:bCs/>
          <w:kern w:val="0"/>
          <w:szCs w:val="21"/>
        </w:rPr>
      </w:pPr>
      <w:bookmarkStart w:id="38" w:name="_Toc143421656"/>
      <w:bookmarkStart w:id="39" w:name="_Toc11067"/>
    </w:p>
    <w:p>
      <w:pPr>
        <w:autoSpaceDE w:val="0"/>
        <w:autoSpaceDN w:val="0"/>
        <w:adjustRightInd w:val="0"/>
        <w:snapToGrid w:val="0"/>
        <w:spacing w:line="360" w:lineRule="exact"/>
        <w:rPr>
          <w:rFonts w:cs="Calibri" w:asciiTheme="minorEastAsia" w:hAnsiTheme="minorEastAsia" w:eastAsiaTheme="minorEastAsia"/>
          <w:b/>
          <w:bCs/>
          <w:kern w:val="0"/>
          <w:sz w:val="22"/>
        </w:rPr>
      </w:pPr>
      <w:r>
        <w:rPr>
          <w:rFonts w:eastAsia="黑体" w:cs="Calibri"/>
          <w:b/>
          <w:bCs/>
          <w:kern w:val="0"/>
          <w:szCs w:val="21"/>
        </w:rPr>
        <w:br w:type="page"/>
      </w:r>
      <w:r>
        <w:rPr>
          <w:rFonts w:cs="Calibri" w:asciiTheme="minorEastAsia" w:hAnsiTheme="minorEastAsia" w:eastAsiaTheme="minorEastAsia"/>
          <w:b/>
          <w:bCs/>
          <w:kern w:val="0"/>
          <w:sz w:val="22"/>
        </w:rPr>
        <w:t>1.</w:t>
      </w:r>
      <w:r>
        <w:rPr>
          <w:rFonts w:hint="eastAsia" w:cs="Calibri" w:asciiTheme="minorEastAsia" w:hAnsiTheme="minorEastAsia" w:eastAsiaTheme="minorEastAsia"/>
          <w:b/>
          <w:bCs/>
          <w:kern w:val="0"/>
          <w:sz w:val="22"/>
        </w:rPr>
        <w:t xml:space="preserve"> </w:t>
      </w:r>
      <w:r>
        <w:rPr>
          <w:rFonts w:cs="Calibri" w:asciiTheme="minorEastAsia" w:hAnsiTheme="minorEastAsia" w:eastAsiaTheme="minorEastAsia"/>
          <w:b/>
          <w:bCs/>
          <w:kern w:val="0"/>
          <w:sz w:val="22"/>
        </w:rPr>
        <w:t>总则</w:t>
      </w:r>
      <w:bookmarkEnd w:id="38"/>
      <w:bookmarkEnd w:id="39"/>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40" w:name="_Toc26216"/>
      <w:r>
        <w:rPr>
          <w:rFonts w:cs="Calibri" w:asciiTheme="minorEastAsia" w:hAnsiTheme="minorEastAsia" w:eastAsiaTheme="minorEastAsia"/>
          <w:b/>
          <w:bCs/>
          <w:kern w:val="0"/>
          <w:sz w:val="22"/>
        </w:rPr>
        <w:t>1.1 项目</w:t>
      </w:r>
      <w:bookmarkEnd w:id="40"/>
      <w:r>
        <w:rPr>
          <w:rFonts w:cs="Calibri" w:asciiTheme="minorEastAsia" w:hAnsiTheme="minorEastAsia" w:eastAsiaTheme="minorEastAsia"/>
          <w:b/>
          <w:bCs/>
          <w:kern w:val="0"/>
          <w:sz w:val="22"/>
        </w:rPr>
        <w:t>概况</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1.1.1项目名称见投标人须知前附表。根据《中华人民共和国招标投标法》、《中华人民共和国招标投标法实施条例》等有关法律、法规和规章的规定，本招标项目已具备招标条件，现对本项目进行招标。</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kern w:val="0"/>
          <w:sz w:val="22"/>
        </w:rPr>
        <w:t>1.1.2项目</w:t>
      </w:r>
      <w:r>
        <w:rPr>
          <w:rFonts w:hint="eastAsia" w:cs="Calibri" w:asciiTheme="minorEastAsia" w:hAnsiTheme="minorEastAsia" w:eastAsiaTheme="minorEastAsia"/>
          <w:color w:val="000000"/>
          <w:kern w:val="0"/>
          <w:sz w:val="22"/>
        </w:rPr>
        <w:t>实施</w:t>
      </w:r>
      <w:r>
        <w:rPr>
          <w:rFonts w:cs="Calibri" w:asciiTheme="minorEastAsia" w:hAnsiTheme="minorEastAsia" w:eastAsiaTheme="minorEastAsia"/>
          <w:color w:val="000000"/>
          <w:kern w:val="0"/>
          <w:sz w:val="22"/>
        </w:rPr>
        <w:t>地点见投标人须知前附表</w:t>
      </w:r>
      <w:r>
        <w:rPr>
          <w:rFonts w:cs="Calibri" w:asciiTheme="minorEastAsia" w:hAnsiTheme="minorEastAsia" w:eastAsiaTheme="minorEastAsia"/>
          <w:color w:val="000000"/>
          <w:sz w:val="22"/>
        </w:rPr>
        <w:t>。</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41" w:name="_Toc9136"/>
      <w:r>
        <w:rPr>
          <w:rFonts w:cs="Calibri" w:asciiTheme="minorEastAsia" w:hAnsiTheme="minorEastAsia" w:eastAsiaTheme="minorEastAsia"/>
          <w:b/>
          <w:bCs/>
          <w:kern w:val="0"/>
          <w:sz w:val="22"/>
        </w:rPr>
        <w:t>1.</w:t>
      </w:r>
      <w:r>
        <w:rPr>
          <w:rFonts w:hint="eastAsia" w:cs="Calibri" w:asciiTheme="minorEastAsia" w:hAnsiTheme="minorEastAsia" w:eastAsiaTheme="minorEastAsia"/>
          <w:b/>
          <w:bCs/>
          <w:kern w:val="0"/>
          <w:sz w:val="22"/>
        </w:rPr>
        <w:t>2</w:t>
      </w:r>
      <w:r>
        <w:rPr>
          <w:rFonts w:cs="Calibri" w:asciiTheme="minorEastAsia" w:hAnsiTheme="minorEastAsia" w:eastAsiaTheme="minorEastAsia"/>
          <w:b/>
          <w:bCs/>
          <w:kern w:val="0"/>
          <w:sz w:val="22"/>
        </w:rPr>
        <w:t xml:space="preserve"> 资金来源</w:t>
      </w:r>
      <w:bookmarkEnd w:id="41"/>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42" w:name="_Toc10673"/>
      <w:r>
        <w:rPr>
          <w:rFonts w:cs="Calibri" w:asciiTheme="minorEastAsia" w:hAnsiTheme="minorEastAsia" w:eastAsiaTheme="minorEastAsia"/>
          <w:b/>
          <w:bCs/>
          <w:kern w:val="0"/>
          <w:sz w:val="22"/>
        </w:rPr>
        <w:t>1.</w:t>
      </w:r>
      <w:r>
        <w:rPr>
          <w:rFonts w:hint="eastAsia" w:cs="Calibri" w:asciiTheme="minorEastAsia" w:hAnsiTheme="minorEastAsia" w:eastAsiaTheme="minorEastAsia"/>
          <w:b/>
          <w:bCs/>
          <w:kern w:val="0"/>
          <w:sz w:val="22"/>
        </w:rPr>
        <w:t>3</w:t>
      </w:r>
      <w:r>
        <w:rPr>
          <w:rFonts w:cs="Calibri" w:asciiTheme="minorEastAsia" w:hAnsiTheme="minorEastAsia" w:eastAsiaTheme="minorEastAsia"/>
          <w:b/>
          <w:bCs/>
          <w:kern w:val="0"/>
          <w:sz w:val="22"/>
        </w:rPr>
        <w:t xml:space="preserve"> 招标</w:t>
      </w:r>
      <w:bookmarkEnd w:id="42"/>
      <w:r>
        <w:rPr>
          <w:rFonts w:hint="eastAsia" w:cs="Calibri" w:asciiTheme="minorEastAsia" w:hAnsiTheme="minorEastAsia" w:eastAsiaTheme="minorEastAsia"/>
          <w:b/>
          <w:bCs/>
          <w:kern w:val="0"/>
          <w:sz w:val="22"/>
        </w:rPr>
        <w:t>内容</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43" w:name="_Toc718"/>
      <w:r>
        <w:rPr>
          <w:rFonts w:cs="Calibri" w:asciiTheme="minorEastAsia" w:hAnsiTheme="minorEastAsia" w:eastAsiaTheme="minorEastAsia"/>
          <w:b/>
          <w:bCs/>
          <w:kern w:val="0"/>
          <w:sz w:val="22"/>
        </w:rPr>
        <w:t>1.</w:t>
      </w:r>
      <w:r>
        <w:rPr>
          <w:rFonts w:hint="eastAsia" w:cs="Calibri" w:asciiTheme="minorEastAsia" w:hAnsiTheme="minorEastAsia" w:eastAsiaTheme="minorEastAsia"/>
          <w:b/>
          <w:bCs/>
          <w:kern w:val="0"/>
          <w:sz w:val="22"/>
        </w:rPr>
        <w:t>4</w:t>
      </w:r>
      <w:r>
        <w:rPr>
          <w:rFonts w:cs="Calibri" w:asciiTheme="minorEastAsia" w:hAnsiTheme="minorEastAsia" w:eastAsiaTheme="minorEastAsia"/>
          <w:b/>
          <w:bCs/>
          <w:kern w:val="0"/>
          <w:sz w:val="22"/>
        </w:rPr>
        <w:t xml:space="preserve"> 招标方式</w:t>
      </w:r>
      <w:bookmarkEnd w:id="43"/>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44" w:name="_Toc9161"/>
      <w:r>
        <w:rPr>
          <w:rFonts w:cs="Calibri" w:asciiTheme="minorEastAsia" w:hAnsiTheme="minorEastAsia" w:eastAsiaTheme="minorEastAsia"/>
          <w:b/>
          <w:bCs/>
          <w:kern w:val="0"/>
          <w:sz w:val="22"/>
        </w:rPr>
        <w:t>1.</w:t>
      </w:r>
      <w:r>
        <w:rPr>
          <w:rFonts w:hint="eastAsia" w:cs="Calibri" w:asciiTheme="minorEastAsia" w:hAnsiTheme="minorEastAsia" w:eastAsiaTheme="minorEastAsia"/>
          <w:b/>
          <w:bCs/>
          <w:kern w:val="0"/>
          <w:sz w:val="22"/>
        </w:rPr>
        <w:t xml:space="preserve">5 </w:t>
      </w:r>
      <w:r>
        <w:rPr>
          <w:rFonts w:cs="Calibri" w:asciiTheme="minorEastAsia" w:hAnsiTheme="minorEastAsia" w:eastAsiaTheme="minorEastAsia"/>
          <w:b/>
          <w:bCs/>
          <w:kern w:val="0"/>
          <w:sz w:val="22"/>
        </w:rPr>
        <w:t>资格审查</w:t>
      </w:r>
      <w:bookmarkEnd w:id="44"/>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45" w:name="_Toc13012"/>
      <w:r>
        <w:rPr>
          <w:rFonts w:cs="Calibri" w:asciiTheme="minorEastAsia" w:hAnsiTheme="minorEastAsia" w:eastAsiaTheme="minorEastAsia"/>
          <w:b/>
          <w:bCs/>
          <w:kern w:val="0"/>
          <w:sz w:val="22"/>
        </w:rPr>
        <w:t>1.</w:t>
      </w:r>
      <w:r>
        <w:rPr>
          <w:rFonts w:hint="eastAsia" w:cs="Calibri" w:asciiTheme="minorEastAsia" w:hAnsiTheme="minorEastAsia" w:eastAsiaTheme="minorEastAsia"/>
          <w:b/>
          <w:bCs/>
          <w:kern w:val="0"/>
          <w:sz w:val="22"/>
        </w:rPr>
        <w:t>6</w:t>
      </w:r>
      <w:r>
        <w:rPr>
          <w:rFonts w:cs="Calibri" w:asciiTheme="minorEastAsia" w:hAnsiTheme="minorEastAsia" w:eastAsiaTheme="minorEastAsia"/>
          <w:b/>
          <w:bCs/>
          <w:kern w:val="0"/>
          <w:sz w:val="22"/>
        </w:rPr>
        <w:t xml:space="preserve"> 投标人资质条件、能力和信誉</w:t>
      </w:r>
      <w:bookmarkEnd w:id="45"/>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46" w:name="_Toc2796"/>
      <w:r>
        <w:rPr>
          <w:rFonts w:cs="Calibri" w:asciiTheme="minorEastAsia" w:hAnsiTheme="minorEastAsia" w:eastAsiaTheme="minorEastAsia"/>
          <w:b/>
          <w:bCs/>
          <w:kern w:val="0"/>
          <w:sz w:val="22"/>
        </w:rPr>
        <w:t>1.</w:t>
      </w:r>
      <w:r>
        <w:rPr>
          <w:rFonts w:hint="eastAsia" w:cs="Calibri" w:asciiTheme="minorEastAsia" w:hAnsiTheme="minorEastAsia" w:eastAsiaTheme="minorEastAsia"/>
          <w:b/>
          <w:bCs/>
          <w:kern w:val="0"/>
          <w:sz w:val="22"/>
        </w:rPr>
        <w:t>7</w:t>
      </w:r>
      <w:r>
        <w:rPr>
          <w:rFonts w:cs="Calibri" w:asciiTheme="minorEastAsia" w:hAnsiTheme="minorEastAsia" w:eastAsiaTheme="minorEastAsia"/>
          <w:b/>
          <w:bCs/>
          <w:kern w:val="0"/>
          <w:sz w:val="22"/>
        </w:rPr>
        <w:t xml:space="preserve"> </w:t>
      </w:r>
      <w:r>
        <w:rPr>
          <w:rFonts w:hint="eastAsia" w:cs="Calibri" w:asciiTheme="minorEastAsia" w:hAnsiTheme="minorEastAsia" w:eastAsiaTheme="minorEastAsia"/>
          <w:b/>
          <w:bCs/>
          <w:kern w:val="0"/>
          <w:sz w:val="22"/>
        </w:rPr>
        <w:t>服务</w:t>
      </w:r>
      <w:r>
        <w:rPr>
          <w:rFonts w:cs="Calibri" w:asciiTheme="minorEastAsia" w:hAnsiTheme="minorEastAsia" w:eastAsiaTheme="minorEastAsia"/>
          <w:b/>
          <w:bCs/>
          <w:kern w:val="0"/>
          <w:sz w:val="22"/>
        </w:rPr>
        <w:t>期</w:t>
      </w:r>
      <w:bookmarkEnd w:id="46"/>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eastAsiaTheme="minorEastAsia"/>
          <w:b/>
          <w:bCs/>
          <w:kern w:val="0"/>
          <w:sz w:val="22"/>
        </w:rPr>
      </w:pPr>
      <w:r>
        <w:rPr>
          <w:rFonts w:hint="eastAsia" w:cs="Calibri" w:asciiTheme="minorEastAsia" w:hAnsiTheme="minorEastAsia" w:eastAsiaTheme="minorEastAsia"/>
          <w:b/>
          <w:bCs/>
          <w:kern w:val="0"/>
          <w:sz w:val="22"/>
        </w:rPr>
        <w:t>1.8 质量要求</w:t>
      </w:r>
    </w:p>
    <w:p>
      <w:pPr>
        <w:adjustRightInd w:val="0"/>
        <w:snapToGrid w:val="0"/>
        <w:spacing w:line="360" w:lineRule="exact"/>
        <w:ind w:firstLine="440" w:firstLineChars="200"/>
        <w:rPr>
          <w:rFonts w:cs="Calibri" w:asciiTheme="minorEastAsia" w:hAnsiTheme="minorEastAsia" w:eastAsiaTheme="minorEastAsia"/>
          <w:color w:val="000000"/>
          <w:sz w:val="22"/>
        </w:rPr>
      </w:pPr>
      <w:bookmarkStart w:id="47" w:name="_Toc13907"/>
      <w:r>
        <w:rPr>
          <w:rFonts w:cs="Calibri" w:asciiTheme="minorEastAsia" w:hAnsiTheme="minorEastAsia" w:eastAsia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eastAsiaTheme="minorEastAsia"/>
          <w:b/>
          <w:bCs/>
          <w:kern w:val="0"/>
          <w:sz w:val="22"/>
        </w:rPr>
      </w:pPr>
      <w:r>
        <w:rPr>
          <w:rFonts w:cs="Calibri" w:asciiTheme="minorEastAsia" w:hAnsiTheme="minorEastAsia" w:eastAsiaTheme="minorEastAsia"/>
          <w:b/>
          <w:bCs/>
          <w:kern w:val="0"/>
          <w:sz w:val="22"/>
        </w:rPr>
        <w:t>1.</w:t>
      </w:r>
      <w:r>
        <w:rPr>
          <w:rFonts w:hint="eastAsia" w:cs="Calibri" w:asciiTheme="minorEastAsia" w:hAnsiTheme="minorEastAsia" w:eastAsiaTheme="minorEastAsia"/>
          <w:b/>
          <w:bCs/>
          <w:kern w:val="0"/>
          <w:sz w:val="22"/>
        </w:rPr>
        <w:t>9</w:t>
      </w:r>
      <w:r>
        <w:rPr>
          <w:rFonts w:cs="Calibri" w:asciiTheme="minorEastAsia" w:hAnsiTheme="minorEastAsia" w:eastAsiaTheme="minorEastAsia"/>
          <w:b/>
          <w:bCs/>
          <w:kern w:val="0"/>
          <w:sz w:val="22"/>
        </w:rPr>
        <w:t xml:space="preserve"> 踏勘现场</w:t>
      </w:r>
      <w:bookmarkEnd w:id="47"/>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sz w:val="22"/>
        </w:rPr>
        <w:t>1.</w:t>
      </w:r>
      <w:r>
        <w:rPr>
          <w:rFonts w:hint="eastAsia" w:cs="Calibri" w:asciiTheme="minorEastAsia" w:hAnsiTheme="minorEastAsia" w:eastAsiaTheme="minorEastAsia"/>
          <w:sz w:val="22"/>
        </w:rPr>
        <w:t>9</w:t>
      </w:r>
      <w:r>
        <w:rPr>
          <w:rFonts w:cs="Calibri" w:asciiTheme="minorEastAsia" w:hAnsiTheme="minorEastAsia" w:eastAsiaTheme="minorEastAsia"/>
          <w:sz w:val="22"/>
        </w:rPr>
        <w:t>.1</w:t>
      </w:r>
      <w:r>
        <w:rPr>
          <w:rFonts w:cs="Calibri" w:asciiTheme="minorEastAsia" w:hAnsiTheme="minorEastAsia" w:eastAsiaTheme="minorEastAsia"/>
          <w:color w:val="000000"/>
          <w:sz w:val="22"/>
        </w:rPr>
        <w:t>投标人须知前附表规定组织踏勘现场的，招标人按投标人须知前附表规定的时间、地点组织投标人踏勘项目现场。</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1.</w:t>
      </w:r>
      <w:r>
        <w:rPr>
          <w:rFonts w:hint="eastAsia" w:cs="Calibri" w:asciiTheme="minorEastAsia" w:hAnsiTheme="minorEastAsia" w:eastAsiaTheme="minorEastAsia"/>
          <w:color w:val="000000"/>
          <w:sz w:val="22"/>
        </w:rPr>
        <w:t>9</w:t>
      </w:r>
      <w:r>
        <w:rPr>
          <w:rFonts w:cs="Calibri" w:asciiTheme="minorEastAsia" w:hAnsiTheme="minorEastAsia" w:eastAsiaTheme="minorEastAsia"/>
          <w:color w:val="000000"/>
          <w:sz w:val="22"/>
        </w:rPr>
        <w:t>.2 投标人踏勘现场发生的费用自理。</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1.</w:t>
      </w:r>
      <w:r>
        <w:rPr>
          <w:rFonts w:hint="eastAsia" w:cs="Calibri" w:asciiTheme="minorEastAsia" w:hAnsiTheme="minorEastAsia" w:eastAsiaTheme="minorEastAsia"/>
          <w:color w:val="000000"/>
          <w:sz w:val="22"/>
        </w:rPr>
        <w:t>9</w:t>
      </w:r>
      <w:r>
        <w:rPr>
          <w:rFonts w:cs="Calibri" w:asciiTheme="minorEastAsia" w:hAnsiTheme="minorEastAsia" w:eastAsiaTheme="minorEastAsia"/>
          <w:color w:val="000000"/>
          <w:sz w:val="22"/>
        </w:rPr>
        <w:t>.3 投标人自行负责在踏勘现场中所发生的人员伤亡和财产损失。</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1.</w:t>
      </w:r>
      <w:r>
        <w:rPr>
          <w:rFonts w:hint="eastAsia" w:cs="Calibri" w:asciiTheme="minorEastAsia" w:hAnsiTheme="minorEastAsia" w:eastAsiaTheme="minorEastAsia"/>
          <w:color w:val="000000"/>
          <w:sz w:val="22"/>
        </w:rPr>
        <w:t>9</w:t>
      </w:r>
      <w:r>
        <w:rPr>
          <w:rFonts w:cs="Calibri" w:asciiTheme="minorEastAsia" w:hAnsiTheme="minorEastAsia" w:eastAsiaTheme="minorEastAsia"/>
          <w:color w:val="000000"/>
          <w:sz w:val="22"/>
        </w:rPr>
        <w:t>.4 招标人向投标人提供的有关现场的数据和资料，仅供投标人在编制投标文件时参考，招标人不对投标人据此作出的判断和决策负责。</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48" w:name="_Toc4199"/>
      <w:r>
        <w:rPr>
          <w:rFonts w:cs="Calibri" w:asciiTheme="minorEastAsia" w:hAnsiTheme="minorEastAsia" w:eastAsiaTheme="minorEastAsia"/>
          <w:b/>
          <w:bCs/>
          <w:kern w:val="0"/>
          <w:sz w:val="22"/>
        </w:rPr>
        <w:t>1.</w:t>
      </w:r>
      <w:r>
        <w:rPr>
          <w:rFonts w:hint="eastAsia" w:cs="Calibri" w:asciiTheme="minorEastAsia" w:hAnsiTheme="minorEastAsia" w:eastAsiaTheme="minorEastAsia"/>
          <w:b/>
          <w:bCs/>
          <w:kern w:val="0"/>
          <w:sz w:val="22"/>
        </w:rPr>
        <w:t>10</w:t>
      </w:r>
      <w:r>
        <w:rPr>
          <w:rFonts w:cs="Calibri" w:asciiTheme="minorEastAsia" w:hAnsiTheme="minorEastAsia" w:eastAsiaTheme="minorEastAsia"/>
          <w:b/>
          <w:bCs/>
          <w:kern w:val="0"/>
          <w:sz w:val="22"/>
        </w:rPr>
        <w:t xml:space="preserve"> 投标预备会</w:t>
      </w:r>
      <w:bookmarkEnd w:id="48"/>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见投标人须知前附表。</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49" w:name="_Toc4584"/>
      <w:r>
        <w:rPr>
          <w:rFonts w:cs="Calibri" w:asciiTheme="minorEastAsia" w:hAnsiTheme="minorEastAsia" w:eastAsiaTheme="minorEastAsia"/>
          <w:b/>
          <w:bCs/>
          <w:kern w:val="0"/>
          <w:sz w:val="22"/>
        </w:rPr>
        <w:t>1.1</w:t>
      </w:r>
      <w:r>
        <w:rPr>
          <w:rFonts w:hint="eastAsia" w:cs="Calibri" w:asciiTheme="minorEastAsia" w:hAnsiTheme="minorEastAsia" w:eastAsiaTheme="minorEastAsia"/>
          <w:b/>
          <w:bCs/>
          <w:kern w:val="0"/>
          <w:sz w:val="22"/>
        </w:rPr>
        <w:t>1</w:t>
      </w:r>
      <w:r>
        <w:rPr>
          <w:rFonts w:cs="Calibri" w:asciiTheme="minorEastAsia" w:hAnsiTheme="minorEastAsia" w:eastAsiaTheme="minorEastAsia"/>
          <w:b/>
          <w:bCs/>
          <w:kern w:val="0"/>
          <w:sz w:val="22"/>
        </w:rPr>
        <w:t xml:space="preserve"> 分包</w:t>
      </w:r>
      <w:bookmarkEnd w:id="49"/>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本项目</w:t>
      </w:r>
      <w:r>
        <w:rPr>
          <w:rFonts w:hint="eastAsia" w:cs="Calibri" w:asciiTheme="minorEastAsia" w:hAnsiTheme="minorEastAsia" w:eastAsiaTheme="minorEastAsia"/>
          <w:color w:val="000000"/>
          <w:sz w:val="22"/>
        </w:rPr>
        <w:t>涉及到其它专业的部分分项工作</w:t>
      </w:r>
      <w:r>
        <w:rPr>
          <w:rFonts w:cs="Calibri" w:asciiTheme="minorEastAsia" w:hAnsiTheme="minorEastAsia" w:eastAsiaTheme="minorEastAsia"/>
          <w:color w:val="000000"/>
          <w:sz w:val="22"/>
        </w:rPr>
        <w:t>允许分包。</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50" w:name="_Toc3996"/>
      <w:r>
        <w:rPr>
          <w:rFonts w:cs="Calibri" w:asciiTheme="minorEastAsia" w:hAnsiTheme="minorEastAsia" w:eastAsiaTheme="minorEastAsia"/>
          <w:b/>
          <w:bCs/>
          <w:kern w:val="0"/>
          <w:sz w:val="22"/>
        </w:rPr>
        <w:t>1.1</w:t>
      </w:r>
      <w:r>
        <w:rPr>
          <w:rFonts w:hint="eastAsia" w:cs="Calibri" w:asciiTheme="minorEastAsia" w:hAnsiTheme="minorEastAsia" w:eastAsiaTheme="minorEastAsia"/>
          <w:b/>
          <w:bCs/>
          <w:kern w:val="0"/>
          <w:sz w:val="22"/>
        </w:rPr>
        <w:t>2</w:t>
      </w:r>
      <w:r>
        <w:rPr>
          <w:rFonts w:cs="Calibri" w:asciiTheme="minorEastAsia" w:hAnsiTheme="minorEastAsia" w:eastAsiaTheme="minorEastAsia"/>
          <w:b/>
          <w:bCs/>
          <w:kern w:val="0"/>
          <w:sz w:val="22"/>
        </w:rPr>
        <w:t xml:space="preserve"> 投标费用</w:t>
      </w:r>
      <w:bookmarkEnd w:id="50"/>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投标人在投标过程中的一切费用，不论中标与否，均由投标人自理。</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51" w:name="_Toc15241"/>
      <w:bookmarkStart w:id="52" w:name="_Toc143421657"/>
      <w:r>
        <w:rPr>
          <w:rFonts w:cs="Calibri" w:asciiTheme="minorEastAsia" w:hAnsiTheme="minorEastAsia" w:eastAsiaTheme="minorEastAsia"/>
          <w:b/>
          <w:bCs/>
          <w:kern w:val="0"/>
          <w:sz w:val="22"/>
        </w:rPr>
        <w:t>2.招标文件</w:t>
      </w:r>
      <w:bookmarkEnd w:id="51"/>
      <w:bookmarkEnd w:id="52"/>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53" w:name="_Toc1426"/>
      <w:r>
        <w:rPr>
          <w:rFonts w:cs="Calibri" w:asciiTheme="minorEastAsia" w:hAnsiTheme="minorEastAsia" w:eastAsiaTheme="minorEastAsia"/>
          <w:b/>
          <w:bCs/>
          <w:kern w:val="0"/>
          <w:sz w:val="22"/>
        </w:rPr>
        <w:t>2.1 招标文件的组成</w:t>
      </w:r>
      <w:bookmarkEnd w:id="53"/>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本招标文件包括：</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（1）招标公告</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（2）投标人须知</w:t>
      </w:r>
    </w:p>
    <w:p>
      <w:pPr>
        <w:adjustRightInd w:val="0"/>
        <w:snapToGrid w:val="0"/>
        <w:spacing w:line="360" w:lineRule="exact"/>
        <w:ind w:firstLine="440" w:firstLineChars="200"/>
        <w:rPr>
          <w:rFonts w:cs="Calibri" w:asciiTheme="minorEastAsia" w:hAnsiTheme="minorEastAsia" w:eastAsiaTheme="minorEastAsia"/>
          <w:kern w:val="0"/>
          <w:sz w:val="22"/>
        </w:rPr>
      </w:pPr>
      <w:r>
        <w:rPr>
          <w:rFonts w:cs="Calibri" w:asciiTheme="minorEastAsia" w:hAnsiTheme="minorEastAsia" w:eastAsiaTheme="minorEastAsia"/>
          <w:color w:val="000000"/>
          <w:kern w:val="0"/>
          <w:sz w:val="22"/>
        </w:rPr>
        <w:t>（3）</w:t>
      </w:r>
      <w:r>
        <w:rPr>
          <w:rFonts w:hint="eastAsia" w:cs="Calibri" w:asciiTheme="minorEastAsia" w:hAnsiTheme="minorEastAsia" w:eastAsiaTheme="minorEastAsia"/>
          <w:kern w:val="0"/>
          <w:sz w:val="22"/>
        </w:rPr>
        <w:t>服务技术标准及要求</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w:t>
      </w:r>
      <w:r>
        <w:rPr>
          <w:rFonts w:hint="eastAsia" w:cs="Calibri" w:asciiTheme="minorEastAsia" w:hAnsiTheme="minorEastAsia" w:eastAsiaTheme="minorEastAsia"/>
          <w:color w:val="000000"/>
          <w:kern w:val="0"/>
          <w:sz w:val="22"/>
        </w:rPr>
        <w:t>4</w:t>
      </w:r>
      <w:r>
        <w:rPr>
          <w:rFonts w:cs="Calibri" w:asciiTheme="minorEastAsia" w:hAnsiTheme="minorEastAsia" w:eastAsiaTheme="minorEastAsia"/>
          <w:color w:val="000000"/>
          <w:kern w:val="0"/>
          <w:sz w:val="22"/>
        </w:rPr>
        <w:t>）合同条款</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w:t>
      </w:r>
      <w:r>
        <w:rPr>
          <w:rFonts w:hint="eastAsia" w:cs="Calibri" w:asciiTheme="minorEastAsia" w:hAnsiTheme="minorEastAsia" w:eastAsiaTheme="minorEastAsia"/>
          <w:color w:val="000000"/>
          <w:kern w:val="0"/>
          <w:sz w:val="22"/>
        </w:rPr>
        <w:t>5</w:t>
      </w:r>
      <w:r>
        <w:rPr>
          <w:rFonts w:cs="Calibri" w:asciiTheme="minorEastAsia" w:hAnsiTheme="minorEastAsia" w:eastAsiaTheme="minorEastAsia"/>
          <w:color w:val="000000"/>
          <w:kern w:val="0"/>
          <w:sz w:val="22"/>
        </w:rPr>
        <w:t>）评标办法及标准</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w:t>
      </w:r>
      <w:r>
        <w:rPr>
          <w:rFonts w:hint="eastAsia" w:cs="Calibri" w:asciiTheme="minorEastAsia" w:hAnsiTheme="minorEastAsia" w:eastAsiaTheme="minorEastAsia"/>
          <w:color w:val="000000"/>
          <w:kern w:val="0"/>
          <w:sz w:val="22"/>
        </w:rPr>
        <w:t>6</w:t>
      </w:r>
      <w:r>
        <w:rPr>
          <w:rFonts w:cs="Calibri" w:asciiTheme="minorEastAsia" w:hAnsiTheme="minorEastAsia" w:eastAsiaTheme="minorEastAsia"/>
          <w:color w:val="000000"/>
          <w:kern w:val="0"/>
          <w:sz w:val="22"/>
        </w:rPr>
        <w:t>）投标文件格式</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sz w:val="22"/>
        </w:rPr>
        <w:t>根据本须知第</w:t>
      </w:r>
      <w:r>
        <w:rPr>
          <w:rFonts w:hint="eastAsia" w:cs="Calibri" w:asciiTheme="minorEastAsia" w:hAnsiTheme="minorEastAsia" w:eastAsiaTheme="minorEastAsia"/>
          <w:color w:val="000000"/>
          <w:sz w:val="22"/>
        </w:rPr>
        <w:t>14</w:t>
      </w:r>
      <w:r>
        <w:rPr>
          <w:rFonts w:cs="Calibri" w:asciiTheme="minorEastAsia" w:hAnsiTheme="minorEastAsia" w:eastAsiaTheme="minorEastAsia"/>
          <w:color w:val="000000"/>
          <w:sz w:val="22"/>
        </w:rPr>
        <w:t>款和</w:t>
      </w:r>
      <w:r>
        <w:rPr>
          <w:rFonts w:hint="eastAsia" w:cs="Calibri" w:asciiTheme="minorEastAsia" w:hAnsiTheme="minorEastAsia" w:eastAsiaTheme="minorEastAsia"/>
          <w:color w:val="000000"/>
          <w:sz w:val="22"/>
        </w:rPr>
        <w:t>15</w:t>
      </w:r>
      <w:r>
        <w:rPr>
          <w:rFonts w:cs="Calibri" w:asciiTheme="minorEastAsia" w:hAnsiTheme="minorEastAsia" w:eastAsiaTheme="minorEastAsia"/>
          <w:color w:val="000000"/>
          <w:sz w:val="22"/>
        </w:rPr>
        <w:t>款对招标文件做出的澄清、修改，构成招标文件的组成部分。</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54" w:name="_Toc18230"/>
      <w:r>
        <w:rPr>
          <w:rFonts w:cs="Calibri" w:asciiTheme="minorEastAsia" w:hAnsiTheme="minorEastAsia" w:eastAsiaTheme="minorEastAsia"/>
          <w:b/>
          <w:bCs/>
          <w:kern w:val="0"/>
          <w:sz w:val="22"/>
        </w:rPr>
        <w:t>2.2 招标文件的澄清</w:t>
      </w:r>
      <w:bookmarkEnd w:id="54"/>
    </w:p>
    <w:p>
      <w:pPr>
        <w:adjustRightInd w:val="0"/>
        <w:snapToGrid w:val="0"/>
        <w:spacing w:line="360" w:lineRule="exact"/>
        <w:ind w:firstLine="440"/>
        <w:rPr>
          <w:rFonts w:cs="Calibri" w:asciiTheme="minorEastAsia" w:hAnsiTheme="minorEastAsia"/>
          <w:color w:val="000000"/>
          <w:sz w:val="22"/>
        </w:rPr>
      </w:pPr>
      <w:bookmarkStart w:id="55" w:name="_Toc18303"/>
      <w:r>
        <w:rPr>
          <w:rFonts w:cs="Calibri" w:asciiTheme="minorEastAsia" w:hAnsiTheme="minorEastAsia"/>
          <w:color w:val="000000"/>
          <w:sz w:val="22"/>
        </w:rPr>
        <w:t>2.2.1投标人应仔细阅读和检查招标文件的全部内容。如发现缺页或附件不全，应及时向招标人提出，以便补齐。如有疑问，应在投标人须知前附表规定的时间前以书面形式（包括信函、电报、传真等可以有形地表现所载内容的形式、下同），要求招标人对招标文件予以澄清。</w:t>
      </w:r>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sz w:val="22"/>
        </w:rPr>
        <w:t>2.2.2</w:t>
      </w:r>
      <w:r>
        <w:rPr>
          <w:rFonts w:hint="eastAsia" w:cs="Calibri" w:asciiTheme="minorEastAsia" w:hAnsiTheme="minorEastAsia"/>
          <w:kern w:val="0"/>
          <w:sz w:val="22"/>
        </w:rPr>
        <w:t>招标人将视情况采用补充公告的方式予以澄清。</w:t>
      </w:r>
    </w:p>
    <w:p>
      <w:pPr>
        <w:autoSpaceDE w:val="0"/>
        <w:autoSpaceDN w:val="0"/>
        <w:adjustRightInd w:val="0"/>
        <w:snapToGrid w:val="0"/>
        <w:spacing w:line="360" w:lineRule="exact"/>
        <w:rPr>
          <w:rFonts w:cs="Calibri" w:asciiTheme="minorEastAsia" w:hAnsiTheme="minorEastAsia" w:eastAsiaTheme="minorEastAsia"/>
          <w:b/>
          <w:bCs/>
          <w:kern w:val="0"/>
          <w:sz w:val="22"/>
        </w:rPr>
      </w:pPr>
      <w:r>
        <w:rPr>
          <w:rFonts w:cs="Calibri" w:asciiTheme="minorEastAsia" w:hAnsiTheme="minorEastAsia" w:eastAsiaTheme="minorEastAsia"/>
          <w:b/>
          <w:bCs/>
          <w:kern w:val="0"/>
          <w:sz w:val="22"/>
        </w:rPr>
        <w:t>2.3 招标文件的修改</w:t>
      </w:r>
      <w:bookmarkEnd w:id="55"/>
    </w:p>
    <w:p>
      <w:pPr>
        <w:adjustRightInd w:val="0"/>
        <w:snapToGrid w:val="0"/>
        <w:spacing w:line="360" w:lineRule="exact"/>
        <w:ind w:firstLine="440"/>
        <w:rPr>
          <w:rFonts w:cs="Calibri" w:asciiTheme="minorEastAsia" w:hAnsiTheme="minorEastAsia"/>
          <w:color w:val="000000"/>
          <w:sz w:val="22"/>
        </w:rPr>
      </w:pPr>
      <w:r>
        <w:rPr>
          <w:rFonts w:cs="Calibri" w:asciiTheme="minorEastAsia" w:hAnsiTheme="minorEastAsia"/>
          <w:color w:val="000000"/>
          <w:kern w:val="0"/>
          <w:sz w:val="22"/>
        </w:rPr>
        <w:t>2.3.1</w:t>
      </w:r>
      <w:r>
        <w:rPr>
          <w:rFonts w:hint="eastAsia" w:cs="Calibri" w:asciiTheme="minorEastAsia" w:hAnsiTheme="minorEastAsia"/>
          <w:kern w:val="0"/>
          <w:sz w:val="22"/>
        </w:rPr>
        <w:t>招标人可主动地或在解答投标人提出的澄清问题时对招标文件进行修改，对招标文件的修改将以补充公告的形式发布，所有获得招标文件的投标人应自行关注网站公告，招标人不再一一通知。投标人因自身贻误行为导致投标失败的，责任自负。</w:t>
      </w:r>
    </w:p>
    <w:p>
      <w:pPr>
        <w:adjustRightInd w:val="0"/>
        <w:snapToGrid w:val="0"/>
        <w:spacing w:line="360" w:lineRule="exact"/>
        <w:ind w:firstLine="440"/>
        <w:rPr>
          <w:rFonts w:cs="Calibri" w:asciiTheme="minorEastAsia" w:hAnsiTheme="minorEastAsia" w:eastAsiaTheme="minorEastAsia"/>
          <w:color w:val="000000"/>
          <w:sz w:val="22"/>
        </w:rPr>
      </w:pPr>
      <w:r>
        <w:rPr>
          <w:rFonts w:cs="Calibri" w:asciiTheme="minorEastAsia" w:hAnsiTheme="minorEastAsia"/>
          <w:color w:val="000000"/>
          <w:sz w:val="22"/>
        </w:rPr>
        <w:t>2.3.2</w:t>
      </w:r>
      <w:r>
        <w:rPr>
          <w:rFonts w:hint="eastAsia" w:cs="Calibri" w:asciiTheme="minorEastAsia" w:hAnsiTheme="minorEastAsia"/>
          <w:color w:val="000000"/>
          <w:sz w:val="22"/>
        </w:rPr>
        <w:t>招标文件的修改为招标文件的组成部分，对投标人有约束力。</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56" w:name="_Toc143421658"/>
      <w:bookmarkStart w:id="57" w:name="_Toc18870"/>
      <w:r>
        <w:rPr>
          <w:rFonts w:cs="Calibri" w:asciiTheme="minorEastAsia" w:hAnsiTheme="minorEastAsia" w:eastAsiaTheme="minorEastAsia"/>
          <w:b/>
          <w:bCs/>
          <w:kern w:val="0"/>
          <w:sz w:val="22"/>
        </w:rPr>
        <w:t>3.投标文件</w:t>
      </w:r>
      <w:bookmarkEnd w:id="56"/>
      <w:bookmarkEnd w:id="57"/>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58" w:name="_Toc461"/>
      <w:r>
        <w:rPr>
          <w:rFonts w:cs="Calibri" w:asciiTheme="minorEastAsia" w:hAnsiTheme="minorEastAsia" w:eastAsiaTheme="minorEastAsia"/>
          <w:b/>
          <w:bCs/>
          <w:kern w:val="0"/>
          <w:sz w:val="22"/>
        </w:rPr>
        <w:t>3.1 投标文件的语言和计量单位</w:t>
      </w:r>
      <w:bookmarkEnd w:id="58"/>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sz w:val="22"/>
        </w:rPr>
        <w:t>3.1.1投标文件与投标有关的所有文件均应使用中文。</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3.1.2除规范另有规定外，投标文件使用的度量衡单位，均采用中华人民共和国法定计量单位。</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3.1.3招标文件中的“天”除特别说明外，均为日历天。</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3.1.4招标文件中所指的“合同”除特别说明外，指 “</w:t>
      </w:r>
      <w:r>
        <w:rPr>
          <w:rFonts w:hint="eastAsia" w:cs="Calibri" w:asciiTheme="minorEastAsia" w:hAnsiTheme="minorEastAsia" w:eastAsiaTheme="minorEastAsia"/>
          <w:color w:val="000000"/>
          <w:kern w:val="0"/>
          <w:sz w:val="22"/>
        </w:rPr>
        <w:t>服务</w:t>
      </w:r>
      <w:r>
        <w:rPr>
          <w:rFonts w:cs="Calibri" w:asciiTheme="minorEastAsia" w:hAnsiTheme="minorEastAsia" w:eastAsiaTheme="minorEastAsia"/>
          <w:color w:val="000000"/>
          <w:kern w:val="0"/>
          <w:sz w:val="22"/>
        </w:rPr>
        <w:t>合同”。</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59" w:name="_Toc1411"/>
      <w:r>
        <w:rPr>
          <w:rFonts w:cs="Calibri" w:asciiTheme="minorEastAsia" w:hAnsiTheme="minorEastAsia" w:eastAsiaTheme="minorEastAsia"/>
          <w:b/>
          <w:bCs/>
          <w:kern w:val="0"/>
          <w:sz w:val="22"/>
        </w:rPr>
        <w:t>3.2 投标文件的组成</w:t>
      </w:r>
      <w:bookmarkEnd w:id="59"/>
    </w:p>
    <w:p>
      <w:pPr>
        <w:adjustRightInd w:val="0"/>
        <w:snapToGrid w:val="0"/>
        <w:spacing w:line="360" w:lineRule="exact"/>
        <w:ind w:firstLine="440" w:firstLineChars="200"/>
        <w:rPr>
          <w:rFonts w:cs="Calibri" w:asciiTheme="minorEastAsia" w:hAnsiTheme="minorEastAsia" w:eastAsiaTheme="minorEastAsia"/>
          <w:color w:val="000000"/>
          <w:sz w:val="22"/>
        </w:rPr>
      </w:pPr>
      <w:bookmarkStart w:id="60" w:name="_Toc32225"/>
      <w:r>
        <w:rPr>
          <w:rFonts w:cs="Calibri" w:asciiTheme="minorEastAsia" w:hAnsiTheme="minorEastAsia" w:eastAsiaTheme="minorEastAsia"/>
          <w:color w:val="000000"/>
          <w:sz w:val="22"/>
        </w:rPr>
        <w:t>3.2.1投标函；</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3.2.</w:t>
      </w:r>
      <w:r>
        <w:rPr>
          <w:rFonts w:hint="eastAsia" w:cs="Calibri" w:asciiTheme="minorEastAsia" w:hAnsiTheme="minorEastAsia" w:eastAsiaTheme="minorEastAsia"/>
          <w:color w:val="000000"/>
          <w:sz w:val="22"/>
        </w:rPr>
        <w:t>2</w:t>
      </w:r>
      <w:r>
        <w:rPr>
          <w:rFonts w:cs="Calibri" w:asciiTheme="minorEastAsia" w:hAnsiTheme="minorEastAsia" w:eastAsiaTheme="minorEastAsia"/>
          <w:color w:val="000000"/>
          <w:sz w:val="22"/>
        </w:rPr>
        <w:t>法定代表人资格证明书；</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3.2.</w:t>
      </w:r>
      <w:r>
        <w:rPr>
          <w:rFonts w:hint="eastAsia" w:cs="Calibri" w:asciiTheme="minorEastAsia" w:hAnsiTheme="minorEastAsia" w:eastAsiaTheme="minorEastAsia"/>
          <w:color w:val="000000"/>
          <w:sz w:val="22"/>
        </w:rPr>
        <w:t>3</w:t>
      </w:r>
      <w:r>
        <w:rPr>
          <w:rFonts w:cs="Calibri" w:asciiTheme="minorEastAsia" w:hAnsiTheme="minorEastAsia" w:eastAsiaTheme="minorEastAsia"/>
          <w:color w:val="000000"/>
          <w:sz w:val="22"/>
        </w:rPr>
        <w:t>授权委托书；</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3.2.</w:t>
      </w:r>
      <w:r>
        <w:rPr>
          <w:rFonts w:hint="eastAsia" w:cs="Calibri" w:asciiTheme="minorEastAsia" w:hAnsiTheme="minorEastAsia" w:eastAsiaTheme="minorEastAsia"/>
          <w:color w:val="000000"/>
          <w:sz w:val="22"/>
        </w:rPr>
        <w:t>4</w:t>
      </w:r>
      <w:r>
        <w:rPr>
          <w:rFonts w:cs="Calibri" w:asciiTheme="minorEastAsia" w:hAnsiTheme="minorEastAsia" w:eastAsiaTheme="minorEastAsia"/>
          <w:color w:val="000000"/>
          <w:sz w:val="22"/>
        </w:rPr>
        <w:t xml:space="preserve"> 投标报价表；</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3.2.5投标人资格证明文件：</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（1）投标人一般情况</w:t>
      </w:r>
      <w:r>
        <w:rPr>
          <w:rFonts w:hint="eastAsia" w:cs="Calibri" w:asciiTheme="minorEastAsia" w:hAnsiTheme="minorEastAsia" w:eastAsiaTheme="minorEastAsia"/>
          <w:color w:val="000000"/>
          <w:sz w:val="22"/>
        </w:rPr>
        <w:t>及</w:t>
      </w:r>
      <w:r>
        <w:rPr>
          <w:rFonts w:cs="Calibri" w:asciiTheme="minorEastAsia" w:hAnsiTheme="minorEastAsia" w:eastAsiaTheme="minorEastAsia"/>
          <w:color w:val="000000"/>
          <w:sz w:val="22"/>
        </w:rPr>
        <w:t>有关证明投标人法律地位的文件（包括营业执照</w:t>
      </w:r>
      <w:r>
        <w:rPr>
          <w:rFonts w:hint="eastAsia" w:cs="Calibri" w:asciiTheme="minorEastAsia" w:hAnsiTheme="minorEastAsia" w:eastAsiaTheme="minorEastAsia"/>
          <w:color w:val="000000"/>
          <w:sz w:val="22"/>
        </w:rPr>
        <w:t>、</w:t>
      </w:r>
      <w:r>
        <w:rPr>
          <w:rFonts w:hint="eastAsia" w:cs="Calibri" w:asciiTheme="minorEastAsia" w:hAnsiTheme="minorEastAsia" w:eastAsiaTheme="minorEastAsia"/>
          <w:sz w:val="22"/>
        </w:rPr>
        <w:t>税务登记证、</w:t>
      </w:r>
      <w:r>
        <w:rPr>
          <w:rFonts w:cs="Calibri" w:asciiTheme="minorEastAsia" w:hAnsiTheme="minorEastAsia" w:eastAsiaTheme="minorEastAsia"/>
          <w:sz w:val="22"/>
        </w:rPr>
        <w:t>一般纳税人证明材料</w:t>
      </w:r>
      <w:r>
        <w:rPr>
          <w:rFonts w:hint="eastAsia" w:cs="Calibri" w:asciiTheme="minorEastAsia" w:hAnsiTheme="minorEastAsia" w:eastAsiaTheme="minorEastAsia"/>
          <w:sz w:val="22"/>
        </w:rPr>
        <w:t>、</w:t>
      </w:r>
      <w:r>
        <w:rPr>
          <w:rFonts w:cs="Calibri" w:asciiTheme="minorEastAsia" w:hAnsiTheme="minorEastAsia" w:eastAsiaTheme="minorEastAsia"/>
          <w:color w:val="000000"/>
          <w:sz w:val="22"/>
        </w:rPr>
        <w:t>资质</w:t>
      </w:r>
      <w:r>
        <w:rPr>
          <w:rFonts w:hint="eastAsia" w:cs="Calibri" w:asciiTheme="minorEastAsia" w:hAnsiTheme="minorEastAsia" w:eastAsiaTheme="minorEastAsia"/>
          <w:color w:val="000000"/>
          <w:sz w:val="22"/>
        </w:rPr>
        <w:t>证书</w:t>
      </w:r>
      <w:r>
        <w:rPr>
          <w:rFonts w:cs="Calibri" w:asciiTheme="minorEastAsia" w:hAnsiTheme="minorEastAsia" w:eastAsiaTheme="minorEastAsia"/>
          <w:color w:val="000000"/>
          <w:sz w:val="22"/>
        </w:rPr>
        <w:t>等），说明投标人的注册地点和主要经营范围；</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（2）有关证明投标人的企业信誉及获得各种奖励等资料；</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（3）投标人经济实力：包括企业注册资金、财务报告与报表中反映的财务状况</w:t>
      </w:r>
      <w:r>
        <w:rPr>
          <w:rFonts w:hint="eastAsia" w:cs="Calibri" w:asciiTheme="minorEastAsia" w:hAnsiTheme="minorEastAsia" w:eastAsiaTheme="minorEastAsia"/>
          <w:color w:val="000000"/>
          <w:sz w:val="22"/>
        </w:rPr>
        <w:t>；</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hint="eastAsia" w:cs="Calibri" w:asciiTheme="minorEastAsia" w:hAnsiTheme="minorEastAsia" w:eastAsiaTheme="minorEastAsia"/>
          <w:color w:val="000000"/>
          <w:sz w:val="22"/>
        </w:rPr>
        <w:t>（4）</w:t>
      </w:r>
      <w:r>
        <w:rPr>
          <w:rFonts w:cs="Calibri" w:asciiTheme="minorEastAsia" w:hAnsiTheme="minorEastAsia" w:eastAsiaTheme="minorEastAsia"/>
          <w:color w:val="000000"/>
          <w:sz w:val="22"/>
        </w:rPr>
        <w:t>近</w:t>
      </w:r>
      <w:r>
        <w:rPr>
          <w:rFonts w:hint="eastAsia" w:cs="Calibri" w:asciiTheme="minorEastAsia" w:hAnsiTheme="minorEastAsia" w:eastAsiaTheme="minorEastAsia"/>
          <w:color w:val="000000"/>
          <w:sz w:val="22"/>
        </w:rPr>
        <w:t>五</w:t>
      </w:r>
      <w:r>
        <w:rPr>
          <w:rFonts w:cs="Calibri" w:asciiTheme="minorEastAsia" w:hAnsiTheme="minorEastAsia" w:eastAsiaTheme="minorEastAsia"/>
          <w:color w:val="000000"/>
          <w:sz w:val="22"/>
        </w:rPr>
        <w:t>年完成类似项目业绩情况</w:t>
      </w:r>
      <w:r>
        <w:rPr>
          <w:rFonts w:hint="eastAsia" w:cs="Calibri" w:asciiTheme="minorEastAsia" w:hAnsiTheme="minorEastAsia" w:eastAsiaTheme="minorEastAsia"/>
          <w:color w:val="000000"/>
          <w:sz w:val="22"/>
        </w:rPr>
        <w:t>；</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hint="eastAsia" w:cs="Calibri" w:asciiTheme="minorEastAsia" w:hAnsiTheme="minorEastAsia" w:eastAsiaTheme="minorEastAsia"/>
          <w:color w:val="000000"/>
          <w:sz w:val="22"/>
        </w:rPr>
        <w:t>（5）招标文件投标人资格要求中提供的相关材料。</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3.2.6</w:t>
      </w:r>
      <w:r>
        <w:rPr>
          <w:rFonts w:hint="eastAsia" w:cs="Calibri" w:asciiTheme="minorEastAsia" w:hAnsiTheme="minorEastAsia" w:eastAsiaTheme="minorEastAsia"/>
          <w:color w:val="000000"/>
          <w:sz w:val="22"/>
        </w:rPr>
        <w:t xml:space="preserve"> </w:t>
      </w:r>
      <w:r>
        <w:rPr>
          <w:rFonts w:cs="Calibri" w:asciiTheme="minorEastAsia" w:hAnsiTheme="minorEastAsia" w:eastAsiaTheme="minorEastAsia"/>
          <w:color w:val="000000"/>
          <w:sz w:val="22"/>
        </w:rPr>
        <w:t>服务大纲</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（1）本项目概况；</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（2）工作内容和依据；</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（3）</w:t>
      </w:r>
      <w:r>
        <w:rPr>
          <w:rFonts w:hint="eastAsia" w:cs="Calibri" w:asciiTheme="minorEastAsia" w:hAnsiTheme="minorEastAsia" w:eastAsiaTheme="minorEastAsia"/>
          <w:color w:val="000000"/>
          <w:sz w:val="22"/>
        </w:rPr>
        <w:t>现场机构、人力、物资设备配置</w:t>
      </w:r>
      <w:r>
        <w:rPr>
          <w:rFonts w:cs="Calibri" w:asciiTheme="minorEastAsia" w:hAnsiTheme="minorEastAsia" w:eastAsiaTheme="minorEastAsia"/>
          <w:color w:val="000000"/>
          <w:sz w:val="22"/>
        </w:rPr>
        <w:t>；</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（4）服务人员的作业安排和进场计划；</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（5）</w:t>
      </w:r>
      <w:r>
        <w:rPr>
          <w:rFonts w:hint="eastAsia" w:cs="Calibri" w:asciiTheme="minorEastAsia" w:hAnsiTheme="minorEastAsia" w:eastAsiaTheme="minorEastAsia"/>
          <w:color w:val="000000"/>
          <w:sz w:val="22"/>
        </w:rPr>
        <w:t>运行、安全、服务等相关管理方案</w:t>
      </w:r>
      <w:r>
        <w:rPr>
          <w:rFonts w:cs="Calibri" w:asciiTheme="minorEastAsia" w:hAnsiTheme="minorEastAsia" w:eastAsiaTheme="minorEastAsia"/>
          <w:color w:val="000000"/>
          <w:sz w:val="22"/>
        </w:rPr>
        <w:t>；</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（6）对本项目的实施意见及重点</w:t>
      </w:r>
      <w:r>
        <w:rPr>
          <w:rFonts w:hint="eastAsia" w:cs="Calibri" w:asciiTheme="minorEastAsia" w:hAnsiTheme="minorEastAsia" w:eastAsiaTheme="minorEastAsia"/>
          <w:color w:val="000000"/>
          <w:sz w:val="22"/>
        </w:rPr>
        <w:t>、</w:t>
      </w:r>
      <w:r>
        <w:rPr>
          <w:rFonts w:cs="Calibri" w:asciiTheme="minorEastAsia" w:hAnsiTheme="minorEastAsia" w:eastAsiaTheme="minorEastAsia"/>
          <w:color w:val="000000"/>
          <w:sz w:val="22"/>
        </w:rPr>
        <w:t>难点控制；</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hint="eastAsia" w:cs="Calibri" w:asciiTheme="minorEastAsia" w:hAnsiTheme="minorEastAsia" w:eastAsiaTheme="minorEastAsia"/>
          <w:color w:val="000000"/>
          <w:sz w:val="22"/>
        </w:rPr>
        <w:t>（7）对特殊情况的承诺以及灾害性、突发事件的应急预案；</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w:t>
      </w:r>
      <w:r>
        <w:rPr>
          <w:rFonts w:hint="eastAsia" w:cs="Calibri" w:asciiTheme="minorEastAsia" w:hAnsiTheme="minorEastAsia" w:eastAsiaTheme="minorEastAsia"/>
          <w:color w:val="000000"/>
          <w:sz w:val="22"/>
        </w:rPr>
        <w:t>8</w:t>
      </w:r>
      <w:r>
        <w:rPr>
          <w:rFonts w:cs="Calibri" w:asciiTheme="minorEastAsia" w:hAnsiTheme="minorEastAsia" w:eastAsiaTheme="minorEastAsia"/>
          <w:color w:val="000000"/>
          <w:sz w:val="22"/>
        </w:rPr>
        <w:t>）投入到本项目的项目负责人、其他人员的情况汇总表及业绩、经历、能力介绍、资格证明材料及人员到位率的承诺；</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w:t>
      </w:r>
      <w:r>
        <w:rPr>
          <w:rFonts w:hint="eastAsia" w:cs="Calibri" w:asciiTheme="minorEastAsia" w:hAnsiTheme="minorEastAsia" w:eastAsiaTheme="minorEastAsia"/>
          <w:color w:val="000000"/>
          <w:sz w:val="22"/>
        </w:rPr>
        <w:t>9</w:t>
      </w:r>
      <w:r>
        <w:rPr>
          <w:rFonts w:cs="Calibri" w:asciiTheme="minorEastAsia" w:hAnsiTheme="minorEastAsia" w:eastAsiaTheme="minorEastAsia"/>
          <w:color w:val="000000"/>
          <w:sz w:val="22"/>
        </w:rPr>
        <w:t>）投入本项目服务的仪器、仪表、设备及交通工具汇总表</w:t>
      </w:r>
      <w:r>
        <w:rPr>
          <w:rFonts w:hint="eastAsia" w:cs="Calibri" w:asciiTheme="minorEastAsia" w:hAnsiTheme="minorEastAsia" w:eastAsiaTheme="minorEastAsia"/>
          <w:color w:val="000000"/>
          <w:sz w:val="22"/>
        </w:rPr>
        <w:t>。</w:t>
      </w:r>
    </w:p>
    <w:p>
      <w:pPr>
        <w:adjustRightInd w:val="0"/>
        <w:snapToGrid w:val="0"/>
        <w:spacing w:line="360" w:lineRule="exact"/>
        <w:ind w:firstLine="440" w:firstLineChars="200"/>
        <w:rPr>
          <w:rFonts w:asciiTheme="minorEastAsia" w:hAnsiTheme="minorEastAsia" w:eastAsiaTheme="minorEastAsia"/>
          <w:sz w:val="22"/>
        </w:rPr>
      </w:pPr>
      <w:r>
        <w:rPr>
          <w:rFonts w:cs="Calibri" w:asciiTheme="minorEastAsia" w:hAnsiTheme="minorEastAsia" w:eastAsiaTheme="minorEastAsia"/>
          <w:color w:val="000000"/>
          <w:sz w:val="22"/>
        </w:rPr>
        <w:t>3.2.7</w:t>
      </w:r>
      <w:r>
        <w:rPr>
          <w:rFonts w:hint="eastAsia" w:cs="Arial" w:asciiTheme="minorEastAsia" w:hAnsiTheme="minorEastAsia" w:eastAsiaTheme="minorEastAsia"/>
          <w:color w:val="000000"/>
          <w:sz w:val="22"/>
        </w:rPr>
        <w:t>投标人认为</w:t>
      </w:r>
      <w:r>
        <w:rPr>
          <w:rFonts w:cs="Arial" w:asciiTheme="minorEastAsia" w:hAnsiTheme="minorEastAsia" w:eastAsiaTheme="minorEastAsia"/>
          <w:color w:val="000000"/>
          <w:sz w:val="22"/>
        </w:rPr>
        <w:t>应该提供的其他材料</w:t>
      </w:r>
      <w:r>
        <w:rPr>
          <w:rFonts w:hint="eastAsia" w:cs="Arial" w:asciiTheme="minorEastAsia" w:hAnsiTheme="minorEastAsia" w:eastAsiaTheme="minorEastAsia"/>
          <w:color w:val="000000"/>
          <w:sz w:val="22"/>
        </w:rPr>
        <w:t>。</w:t>
      </w:r>
    </w:p>
    <w:p>
      <w:pPr>
        <w:autoSpaceDE w:val="0"/>
        <w:autoSpaceDN w:val="0"/>
        <w:adjustRightInd w:val="0"/>
        <w:snapToGrid w:val="0"/>
        <w:spacing w:line="360" w:lineRule="exact"/>
        <w:rPr>
          <w:rFonts w:cs="Calibri" w:asciiTheme="minorEastAsia" w:hAnsiTheme="minorEastAsia" w:eastAsiaTheme="minorEastAsia"/>
          <w:b/>
          <w:bCs/>
          <w:kern w:val="0"/>
          <w:sz w:val="22"/>
        </w:rPr>
      </w:pPr>
      <w:r>
        <w:rPr>
          <w:rFonts w:cs="Calibri" w:asciiTheme="minorEastAsia" w:hAnsiTheme="minorEastAsia" w:eastAsiaTheme="minorEastAsia"/>
          <w:b/>
          <w:bCs/>
          <w:kern w:val="0"/>
          <w:sz w:val="22"/>
        </w:rPr>
        <w:t>3.3 投标报价</w:t>
      </w:r>
      <w:bookmarkEnd w:id="60"/>
    </w:p>
    <w:p>
      <w:pPr>
        <w:adjustRightInd w:val="0"/>
        <w:snapToGrid w:val="0"/>
        <w:spacing w:line="360" w:lineRule="exact"/>
        <w:ind w:firstLine="440" w:firstLineChars="200"/>
        <w:rPr>
          <w:rFonts w:cs="Calibri" w:asciiTheme="minorEastAsia" w:hAnsiTheme="minorEastAsia" w:eastAsiaTheme="minorEastAsia"/>
          <w:color w:val="000000"/>
          <w:kern w:val="0"/>
          <w:sz w:val="22"/>
        </w:rPr>
      </w:pPr>
      <w:bookmarkStart w:id="61" w:name="_Toc13307"/>
      <w:r>
        <w:rPr>
          <w:rFonts w:cs="Calibri" w:asciiTheme="minorEastAsia" w:hAnsiTheme="minorEastAsia" w:eastAsiaTheme="minorEastAsia"/>
          <w:color w:val="000000"/>
          <w:kern w:val="0"/>
          <w:sz w:val="22"/>
        </w:rPr>
        <w:t>3.</w:t>
      </w:r>
      <w:r>
        <w:rPr>
          <w:rFonts w:hint="eastAsia" w:cs="Calibri" w:asciiTheme="minorEastAsia" w:hAnsiTheme="minorEastAsia" w:eastAsiaTheme="minorEastAsia"/>
          <w:color w:val="000000"/>
          <w:kern w:val="0"/>
          <w:sz w:val="22"/>
        </w:rPr>
        <w:t>3</w:t>
      </w:r>
      <w:r>
        <w:rPr>
          <w:rFonts w:cs="Calibri" w:asciiTheme="minorEastAsia" w:hAnsiTheme="minorEastAsia" w:eastAsiaTheme="minorEastAsia"/>
          <w:color w:val="000000"/>
          <w:kern w:val="0"/>
          <w:sz w:val="22"/>
        </w:rPr>
        <w:t>.1 投标人应按本招标文件中“投标文件格式”的要求填写相应表格。</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3.</w:t>
      </w:r>
      <w:r>
        <w:rPr>
          <w:rFonts w:hint="eastAsia" w:cs="Calibri" w:asciiTheme="minorEastAsia" w:hAnsiTheme="minorEastAsia" w:eastAsiaTheme="minorEastAsia"/>
          <w:color w:val="000000"/>
          <w:kern w:val="0"/>
          <w:sz w:val="22"/>
        </w:rPr>
        <w:t>3</w:t>
      </w:r>
      <w:r>
        <w:rPr>
          <w:rFonts w:cs="Calibri" w:asciiTheme="minorEastAsia" w:hAnsiTheme="minorEastAsia" w:eastAsiaTheme="minorEastAsia"/>
          <w:color w:val="000000"/>
          <w:kern w:val="0"/>
          <w:sz w:val="22"/>
        </w:rPr>
        <w:t>.2 投标人在投标截止时间前修改投标函中的投标总报价，应同时修改本招标文件中“投标文件格式”中的相应报价。此修改须符合本章第4.3款的有关要求。</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3.</w:t>
      </w:r>
      <w:r>
        <w:rPr>
          <w:rFonts w:hint="eastAsia" w:cs="Calibri" w:asciiTheme="minorEastAsia" w:hAnsiTheme="minorEastAsia" w:eastAsiaTheme="minorEastAsia"/>
          <w:color w:val="000000"/>
          <w:kern w:val="0"/>
          <w:sz w:val="22"/>
        </w:rPr>
        <w:t>3</w:t>
      </w:r>
      <w:r>
        <w:rPr>
          <w:rFonts w:cs="Calibri" w:asciiTheme="minorEastAsia" w:hAnsiTheme="minorEastAsia" w:eastAsiaTheme="minorEastAsia"/>
          <w:color w:val="000000"/>
          <w:kern w:val="0"/>
          <w:sz w:val="22"/>
        </w:rPr>
        <w:t>.3招标人设有最高投标限价的，投标人的投标报价不得超过最高投标限价，最高投标限价详见投标人须知前附表。</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3.</w:t>
      </w:r>
      <w:r>
        <w:rPr>
          <w:rFonts w:hint="eastAsia" w:cs="Calibri" w:asciiTheme="minorEastAsia" w:hAnsiTheme="minorEastAsia" w:eastAsiaTheme="minorEastAsia"/>
          <w:color w:val="000000"/>
          <w:kern w:val="0"/>
          <w:sz w:val="22"/>
        </w:rPr>
        <w:t>3</w:t>
      </w:r>
      <w:r>
        <w:rPr>
          <w:rFonts w:cs="Calibri" w:asciiTheme="minorEastAsia" w:hAnsiTheme="minorEastAsia" w:eastAsiaTheme="minorEastAsia"/>
          <w:color w:val="000000"/>
          <w:kern w:val="0"/>
          <w:sz w:val="22"/>
        </w:rPr>
        <w:t>.4投标报价的其他要求</w:t>
      </w:r>
      <w:r>
        <w:rPr>
          <w:rFonts w:hint="eastAsia" w:cs="Calibri" w:asciiTheme="minorEastAsia" w:hAnsiTheme="minorEastAsia" w:eastAsiaTheme="minorEastAsia"/>
          <w:color w:val="000000"/>
          <w:kern w:val="0"/>
          <w:sz w:val="22"/>
        </w:rPr>
        <w:t>：</w:t>
      </w:r>
      <w:r>
        <w:rPr>
          <w:rFonts w:hint="eastAsia" w:cs="Calibri" w:asciiTheme="minorEastAsia" w:hAnsiTheme="minorEastAsia" w:eastAsiaTheme="minorEastAsia"/>
          <w:b/>
          <w:color w:val="000000"/>
          <w:kern w:val="0"/>
          <w:sz w:val="22"/>
          <w:u w:val="single"/>
        </w:rPr>
        <w:t>投标报价如有漏项，风险由投标人承担，即在评标时，按照最不利原则予以修正，但在签订合同时，认为这些漏项或者缺项已包含在投标报价的其他部分中，不再单独计价，也不因此增加合同价格</w:t>
      </w:r>
      <w:r>
        <w:rPr>
          <w:rFonts w:cs="Calibri" w:asciiTheme="minorEastAsia" w:hAnsiTheme="minorEastAsia" w:eastAsiaTheme="minorEastAsia"/>
          <w:b/>
          <w:color w:val="000000"/>
          <w:kern w:val="0"/>
          <w:sz w:val="22"/>
        </w:rPr>
        <w:t>。</w:t>
      </w:r>
    </w:p>
    <w:p>
      <w:pPr>
        <w:autoSpaceDE w:val="0"/>
        <w:autoSpaceDN w:val="0"/>
        <w:adjustRightInd w:val="0"/>
        <w:snapToGrid w:val="0"/>
        <w:spacing w:line="360" w:lineRule="exact"/>
        <w:rPr>
          <w:rFonts w:cs="Calibri" w:asciiTheme="minorEastAsia" w:hAnsiTheme="minorEastAsia" w:eastAsiaTheme="minorEastAsia"/>
          <w:b/>
          <w:bCs/>
          <w:kern w:val="0"/>
          <w:sz w:val="22"/>
        </w:rPr>
      </w:pPr>
      <w:r>
        <w:rPr>
          <w:rFonts w:cs="Calibri" w:asciiTheme="minorEastAsia" w:hAnsiTheme="minorEastAsia" w:eastAsiaTheme="minorEastAsia"/>
          <w:b/>
          <w:bCs/>
          <w:kern w:val="0"/>
          <w:sz w:val="22"/>
        </w:rPr>
        <w:t>3.4 投标有效期</w:t>
      </w:r>
      <w:bookmarkEnd w:id="61"/>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3.4.1在投标人须知前附表规定的投标有效期内，投标人不得要求撤销和修改其投标文件。</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3.4.2出现特殊情况需要延长投标有效期的，招标人以书面形式通知所有投标人延长投标有效期。投标人同意延长的，应相应延长其投标保证金有效期，但不要求或被允许修改或撤销其投标文件；投标人拒绝延长的，其投标失效，但投标人有权收回其投标保证金。</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62" w:name="_Toc30464"/>
      <w:r>
        <w:rPr>
          <w:rFonts w:cs="Calibri" w:asciiTheme="minorEastAsia" w:hAnsiTheme="minorEastAsia" w:eastAsiaTheme="minorEastAsia"/>
          <w:b/>
          <w:bCs/>
          <w:kern w:val="0"/>
          <w:sz w:val="22"/>
        </w:rPr>
        <w:t>3.5 投标保证金</w:t>
      </w:r>
      <w:bookmarkEnd w:id="62"/>
      <w:r>
        <w:rPr>
          <w:rFonts w:hint="eastAsia" w:cs="Calibri" w:asciiTheme="minorEastAsia" w:hAnsiTheme="minorEastAsia" w:eastAsiaTheme="minorEastAsia"/>
          <w:b/>
          <w:bCs/>
          <w:kern w:val="0"/>
          <w:sz w:val="22"/>
        </w:rPr>
        <w:t>（如有）</w:t>
      </w:r>
    </w:p>
    <w:p>
      <w:pPr>
        <w:adjustRightInd w:val="0"/>
        <w:snapToGrid w:val="0"/>
        <w:spacing w:line="360" w:lineRule="exact"/>
        <w:ind w:firstLine="440"/>
        <w:rPr>
          <w:rFonts w:ascii="宋体" w:hAnsi="宋体" w:cs="Calibri"/>
          <w:kern w:val="0"/>
          <w:sz w:val="22"/>
        </w:rPr>
      </w:pPr>
      <w:bookmarkStart w:id="63" w:name="_Toc29989"/>
      <w:r>
        <w:rPr>
          <w:rFonts w:ascii="宋体" w:hAnsi="宋体" w:cs="Calibri"/>
          <w:kern w:val="0"/>
          <w:sz w:val="22"/>
        </w:rPr>
        <w:t>3.5.1投标人在递交投标文件的同时，应按投标人须知前附表规定的金额、担保形式和第</w:t>
      </w:r>
      <w:r>
        <w:rPr>
          <w:rFonts w:hint="eastAsia" w:ascii="宋体" w:hAnsi="宋体" w:cs="Calibri"/>
          <w:kern w:val="0"/>
          <w:sz w:val="22"/>
        </w:rPr>
        <w:t>六</w:t>
      </w:r>
      <w:r>
        <w:rPr>
          <w:rFonts w:ascii="宋体" w:hAnsi="宋体" w:cs="Calibri"/>
          <w:kern w:val="0"/>
          <w:sz w:val="22"/>
        </w:rPr>
        <w:t>章</w:t>
      </w:r>
      <w:r>
        <w:rPr>
          <w:rFonts w:ascii="宋体" w:hAnsi="宋体" w:cs="Calibri"/>
          <w:sz w:val="22"/>
        </w:rPr>
        <w:t>“投标文件格式”</w:t>
      </w:r>
      <w:r>
        <w:rPr>
          <w:rFonts w:ascii="宋体" w:hAnsi="宋体" w:cs="Calibri"/>
          <w:kern w:val="0"/>
          <w:sz w:val="22"/>
        </w:rPr>
        <w:t>规定的投标保证金格式递交投标保证金，并作为其投标文件的组成部分。否则，视为投标人自动放弃投标资格。</w:t>
      </w:r>
    </w:p>
    <w:p>
      <w:pPr>
        <w:adjustRightInd w:val="0"/>
        <w:snapToGrid w:val="0"/>
        <w:spacing w:line="360" w:lineRule="exact"/>
        <w:ind w:firstLine="440"/>
        <w:rPr>
          <w:rFonts w:ascii="宋体" w:hAnsi="宋体" w:cs="Calibri"/>
          <w:kern w:val="0"/>
          <w:sz w:val="22"/>
        </w:rPr>
      </w:pPr>
      <w:r>
        <w:rPr>
          <w:rFonts w:ascii="宋体" w:hAnsi="宋体" w:cs="Calibri"/>
          <w:kern w:val="0"/>
          <w:sz w:val="22"/>
        </w:rPr>
        <w:t>3.5.2</w:t>
      </w:r>
      <w:r>
        <w:rPr>
          <w:rFonts w:hint="eastAsia" w:ascii="宋体" w:hAnsi="宋体" w:cs="Calibri"/>
          <w:kern w:val="0"/>
          <w:sz w:val="22"/>
        </w:rPr>
        <w:t>中标人的投标保证金，将在与招标人签订合同后5日内无息退还（以银行转账方式）；未中标的投标保证金，将在中标公示结束后15个工作日后无息退还（以银行转账形式）。办理退保证金手续时需向招标人提供投标人开具的投标保证金收据，并同时提供书面的退款账户详细信息（包含所投标段名称、户名、开户行、账号），快递方式送达投标地址。</w:t>
      </w:r>
    </w:p>
    <w:p>
      <w:pPr>
        <w:adjustRightInd w:val="0"/>
        <w:snapToGrid w:val="0"/>
        <w:spacing w:line="360" w:lineRule="exact"/>
        <w:ind w:firstLine="440"/>
        <w:rPr>
          <w:rFonts w:ascii="宋体" w:hAnsi="宋体" w:cs="Calibri"/>
          <w:kern w:val="0"/>
          <w:sz w:val="22"/>
        </w:rPr>
      </w:pPr>
      <w:r>
        <w:rPr>
          <w:rFonts w:ascii="宋体" w:hAnsi="宋体" w:cs="Calibri"/>
          <w:kern w:val="0"/>
          <w:sz w:val="22"/>
        </w:rPr>
        <w:t>3.5.3投标人如有下列情形之一的，投标保证金将不予退还：</w:t>
      </w:r>
    </w:p>
    <w:p>
      <w:pPr>
        <w:adjustRightInd w:val="0"/>
        <w:snapToGrid w:val="0"/>
        <w:spacing w:line="360" w:lineRule="exact"/>
        <w:ind w:firstLine="440"/>
        <w:rPr>
          <w:rFonts w:ascii="宋体" w:hAnsi="宋体" w:cs="Calibri"/>
          <w:kern w:val="0"/>
          <w:sz w:val="22"/>
        </w:rPr>
      </w:pPr>
      <w:r>
        <w:rPr>
          <w:rFonts w:ascii="宋体" w:hAnsi="宋体" w:cs="Calibri"/>
          <w:kern w:val="0"/>
          <w:sz w:val="22"/>
        </w:rPr>
        <w:t>（1）投标人在规定的投标有效期内撤销或修改其投标文件；</w:t>
      </w:r>
    </w:p>
    <w:p>
      <w:pPr>
        <w:adjustRightInd w:val="0"/>
        <w:snapToGrid w:val="0"/>
        <w:spacing w:line="360" w:lineRule="exact"/>
        <w:ind w:firstLine="440"/>
        <w:rPr>
          <w:rFonts w:ascii="宋体" w:hAnsi="宋体" w:cs="Calibri"/>
          <w:sz w:val="22"/>
        </w:rPr>
      </w:pPr>
      <w:r>
        <w:rPr>
          <w:rFonts w:ascii="宋体" w:hAnsi="宋体" w:cs="Calibri"/>
          <w:kern w:val="0"/>
          <w:sz w:val="22"/>
        </w:rPr>
        <w:t>（2）</w:t>
      </w:r>
      <w:r>
        <w:rPr>
          <w:rFonts w:cs="Calibri" w:asciiTheme="minorEastAsia" w:hAnsiTheme="minorEastAsia"/>
          <w:color w:val="000000"/>
          <w:kern w:val="0"/>
          <w:sz w:val="22"/>
        </w:rPr>
        <w:t>中标人在收到中标通知书后，</w:t>
      </w:r>
      <w:r>
        <w:rPr>
          <w:rFonts w:cs="Calibri" w:asciiTheme="minorEastAsia" w:hAnsiTheme="minorEastAsia"/>
          <w:color w:val="000000"/>
          <w:sz w:val="22"/>
        </w:rPr>
        <w:t>无正当理由拒签合同协议书或未按招标文件规定提交履约担保，或因投标人在投标文件中未如实填报或隐瞒不报投标人的行贿犯罪记录导致取消中标资格的</w:t>
      </w:r>
      <w:r>
        <w:rPr>
          <w:rFonts w:ascii="宋体" w:hAnsi="宋体" w:cs="Calibri"/>
          <w:sz w:val="22"/>
        </w:rPr>
        <w:t>；</w:t>
      </w:r>
    </w:p>
    <w:p>
      <w:pPr>
        <w:adjustRightInd w:val="0"/>
        <w:snapToGrid w:val="0"/>
        <w:spacing w:line="360" w:lineRule="exact"/>
        <w:ind w:firstLine="440"/>
        <w:rPr>
          <w:rFonts w:ascii="宋体" w:hAnsi="宋体" w:cs="Calibri"/>
          <w:kern w:val="0"/>
          <w:sz w:val="22"/>
        </w:rPr>
      </w:pPr>
      <w:r>
        <w:rPr>
          <w:rFonts w:ascii="宋体" w:hAnsi="宋体" w:cs="Calibri"/>
          <w:kern w:val="0"/>
          <w:sz w:val="22"/>
        </w:rPr>
        <w:t>（</w:t>
      </w:r>
      <w:r>
        <w:rPr>
          <w:rFonts w:hint="eastAsia" w:ascii="宋体" w:hAnsi="宋体" w:cs="Calibri"/>
          <w:kern w:val="0"/>
          <w:sz w:val="22"/>
        </w:rPr>
        <w:t>3</w:t>
      </w:r>
      <w:r>
        <w:rPr>
          <w:rFonts w:ascii="宋体" w:hAnsi="宋体" w:cs="Calibri"/>
          <w:kern w:val="0"/>
          <w:sz w:val="22"/>
        </w:rPr>
        <w:t>）第一中标候选人因不可抗力之外的原因放弃中标权的，必须按招标文件的规定没收其投标保证金。没收的投标保证金不能弥补由于其放弃中标权而给招标人造成中标价的差额损失的，由放弃中标权的中标候选人承担。</w:t>
      </w:r>
    </w:p>
    <w:p>
      <w:pPr>
        <w:autoSpaceDE w:val="0"/>
        <w:autoSpaceDN w:val="0"/>
        <w:adjustRightInd w:val="0"/>
        <w:snapToGrid w:val="0"/>
        <w:spacing w:line="360" w:lineRule="exact"/>
        <w:rPr>
          <w:rFonts w:cs="Calibri" w:asciiTheme="minorEastAsia" w:hAnsiTheme="minorEastAsia" w:eastAsiaTheme="minorEastAsia"/>
          <w:b/>
          <w:bCs/>
          <w:kern w:val="0"/>
          <w:sz w:val="22"/>
        </w:rPr>
      </w:pPr>
      <w:r>
        <w:rPr>
          <w:rFonts w:cs="Calibri" w:asciiTheme="minorEastAsia" w:hAnsiTheme="minorEastAsia" w:eastAsiaTheme="minorEastAsia"/>
          <w:b/>
          <w:bCs/>
          <w:kern w:val="0"/>
          <w:sz w:val="22"/>
        </w:rPr>
        <w:t>3.6 投标文件的编制</w:t>
      </w:r>
      <w:bookmarkEnd w:id="63"/>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3.6.1 投标文件应按本须知第3.2款规定的内容和第</w:t>
      </w:r>
      <w:r>
        <w:rPr>
          <w:rFonts w:hint="eastAsia" w:cs="Calibri" w:asciiTheme="minorEastAsia" w:hAnsiTheme="minorEastAsia" w:eastAsiaTheme="minorEastAsia"/>
          <w:color w:val="000000"/>
          <w:sz w:val="22"/>
        </w:rPr>
        <w:t>六</w:t>
      </w:r>
      <w:r>
        <w:rPr>
          <w:rFonts w:cs="Calibri" w:asciiTheme="minorEastAsia" w:hAnsiTheme="minorEastAsia" w:eastAsiaTheme="minorEastAsia"/>
          <w:color w:val="000000"/>
          <w:sz w:val="22"/>
        </w:rPr>
        <w:t>章“投标文件格式”进行编写，如有必要，可以增加附页，作为投标文件的组成部分，“投标文件格式”中没有规定的可自行编制格式。其中，</w:t>
      </w:r>
      <w:r>
        <w:rPr>
          <w:rFonts w:hint="eastAsia" w:cs="Calibri" w:asciiTheme="minorEastAsia" w:hAnsiTheme="minorEastAsia" w:eastAsiaTheme="minorEastAsia"/>
          <w:sz w:val="22"/>
        </w:rPr>
        <w:t>服务期</w:t>
      </w:r>
      <w:r>
        <w:rPr>
          <w:rFonts w:cs="Calibri" w:asciiTheme="minorEastAsia" w:hAnsiTheme="minorEastAsia" w:eastAsiaTheme="minorEastAsia"/>
          <w:sz w:val="22"/>
        </w:rPr>
        <w:t>在满足招标文件实质性要求的基础上，可以提出比招标文件要求更有利于招标人的承诺。</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sz w:val="22"/>
        </w:rPr>
        <w:t xml:space="preserve">3.6.2 </w:t>
      </w:r>
      <w:r>
        <w:rPr>
          <w:rFonts w:cs="Calibri" w:asciiTheme="minorEastAsia" w:hAnsiTheme="minorEastAsia" w:eastAsiaTheme="minorEastAsia"/>
          <w:color w:val="000000"/>
          <w:kern w:val="0"/>
          <w:sz w:val="22"/>
        </w:rPr>
        <w:t>投标文件应对招标文件有关</w:t>
      </w:r>
      <w:r>
        <w:rPr>
          <w:rFonts w:hint="eastAsia" w:cs="Calibri" w:asciiTheme="minorEastAsia" w:hAnsiTheme="minorEastAsia" w:eastAsiaTheme="minorEastAsia"/>
          <w:color w:val="000000"/>
          <w:kern w:val="0"/>
          <w:sz w:val="22"/>
        </w:rPr>
        <w:t>服务</w:t>
      </w:r>
      <w:r>
        <w:rPr>
          <w:rFonts w:cs="Calibri" w:asciiTheme="minorEastAsia" w:hAnsiTheme="minorEastAsia" w:eastAsiaTheme="minorEastAsia"/>
          <w:color w:val="000000"/>
          <w:kern w:val="0"/>
          <w:sz w:val="22"/>
        </w:rPr>
        <w:t>期、投标有效期、招标</w:t>
      </w:r>
      <w:r>
        <w:rPr>
          <w:rFonts w:hint="eastAsia" w:cs="Calibri" w:asciiTheme="minorEastAsia" w:hAnsiTheme="minorEastAsia" w:eastAsiaTheme="minorEastAsia"/>
          <w:color w:val="000000"/>
          <w:kern w:val="0"/>
          <w:sz w:val="22"/>
        </w:rPr>
        <w:t>内容</w:t>
      </w:r>
      <w:r>
        <w:rPr>
          <w:rFonts w:cs="Calibri" w:asciiTheme="minorEastAsia" w:hAnsiTheme="minorEastAsia" w:eastAsiaTheme="minorEastAsia"/>
          <w:color w:val="000000"/>
          <w:kern w:val="0"/>
          <w:sz w:val="22"/>
        </w:rPr>
        <w:t>等实质性内容作出响应。</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3.6.3 投标文件应用不褪色的材料书写、打印或复印，并由投标人的法定代表人或其委托代理人签字或盖章。委托代理人签字的，投标文件应附法定代表人签署的授权委托书。投标文件应尽量避免涂改、行间插字或删除。如果出现上述情况，改动之处应加盖单位章或由投标人的法定代表人签字或其委托代理人签字。</w:t>
      </w:r>
      <w:r>
        <w:rPr>
          <w:rFonts w:cs="Calibri" w:asciiTheme="minorEastAsia" w:hAnsiTheme="minorEastAsia" w:eastAsiaTheme="minorEastAsia"/>
          <w:color w:val="000000"/>
          <w:kern w:val="0"/>
          <w:sz w:val="22"/>
        </w:rPr>
        <w:t>签字或盖章的具体要求见投标人须知前附表。</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3.6.4投标文件正本一份， 副本份数见投标人须知前附表。正本、副本的封面上应清楚地标记</w:t>
      </w:r>
      <w:r>
        <w:rPr>
          <w:rFonts w:cs="Calibri" w:asciiTheme="minorEastAsia" w:hAnsiTheme="minorEastAsia" w:eastAsiaTheme="minorEastAsia"/>
          <w:b/>
          <w:bCs/>
          <w:color w:val="000000"/>
          <w:sz w:val="22"/>
        </w:rPr>
        <w:t>“正本</w:t>
      </w:r>
      <w:r>
        <w:rPr>
          <w:rFonts w:cs="Calibri" w:asciiTheme="minorEastAsia" w:hAnsiTheme="minorEastAsia" w:eastAsiaTheme="minorEastAsia"/>
          <w:color w:val="000000"/>
          <w:sz w:val="22"/>
        </w:rPr>
        <w:t>”或“</w:t>
      </w:r>
      <w:r>
        <w:rPr>
          <w:rFonts w:cs="Calibri" w:asciiTheme="minorEastAsia" w:hAnsiTheme="minorEastAsia" w:eastAsiaTheme="minorEastAsia"/>
          <w:b/>
          <w:bCs/>
          <w:color w:val="000000"/>
          <w:sz w:val="22"/>
        </w:rPr>
        <w:t>副本</w:t>
      </w:r>
      <w:r>
        <w:rPr>
          <w:rFonts w:cs="Calibri" w:asciiTheme="minorEastAsia" w:hAnsiTheme="minorEastAsia" w:eastAsiaTheme="minorEastAsia"/>
          <w:color w:val="000000"/>
          <w:sz w:val="22"/>
        </w:rPr>
        <w:t>”的字样。当副本和正本不一致时，以正本为准。</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3.6.5投标文件的正本与副本应分别按A4规格装订成册，具体装订要求见投标人须知前附表规定。</w:t>
      </w:r>
      <w:bookmarkStart w:id="64" w:name="_Toc143421659"/>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65" w:name="_Toc32652"/>
      <w:r>
        <w:rPr>
          <w:rFonts w:cs="Calibri" w:asciiTheme="minorEastAsia" w:hAnsiTheme="minorEastAsia" w:eastAsiaTheme="minorEastAsia"/>
          <w:b/>
          <w:bCs/>
          <w:kern w:val="0"/>
          <w:sz w:val="22"/>
        </w:rPr>
        <w:t>4.投标</w:t>
      </w:r>
      <w:bookmarkEnd w:id="64"/>
      <w:bookmarkEnd w:id="65"/>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66" w:name="_Toc649"/>
      <w:r>
        <w:rPr>
          <w:rFonts w:cs="Calibri" w:asciiTheme="minorEastAsia" w:hAnsiTheme="minorEastAsia" w:eastAsiaTheme="minorEastAsia"/>
          <w:b/>
          <w:bCs/>
          <w:kern w:val="0"/>
          <w:sz w:val="22"/>
        </w:rPr>
        <w:t>4.1 投标文件的密封和标识</w:t>
      </w:r>
      <w:bookmarkEnd w:id="66"/>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sz w:val="22"/>
        </w:rPr>
        <w:t>4.1.1</w:t>
      </w:r>
      <w:r>
        <w:rPr>
          <w:rFonts w:cs="Calibri" w:asciiTheme="minorEastAsia" w:hAnsiTheme="minorEastAsia" w:eastAsiaTheme="minorEastAsia"/>
          <w:color w:val="000000"/>
          <w:kern w:val="0"/>
          <w:sz w:val="22"/>
        </w:rPr>
        <w:t>投标文件的正本、副本可一同</w:t>
      </w:r>
      <w:r>
        <w:rPr>
          <w:rFonts w:hint="eastAsia" w:cs="Calibri" w:asciiTheme="minorEastAsia" w:hAnsiTheme="minorEastAsia" w:eastAsiaTheme="minorEastAsia"/>
          <w:color w:val="000000"/>
          <w:kern w:val="0"/>
          <w:sz w:val="22"/>
        </w:rPr>
        <w:t>密封</w:t>
      </w:r>
      <w:r>
        <w:rPr>
          <w:rFonts w:cs="Calibri" w:asciiTheme="minorEastAsia" w:hAnsiTheme="minorEastAsia" w:eastAsiaTheme="minorEastAsia"/>
          <w:color w:val="000000"/>
          <w:kern w:val="0"/>
          <w:sz w:val="22"/>
        </w:rPr>
        <w:t>包装，并在封口处加盖投标人单位章或法定代表人盖章（或签字）或委托代理人盖章（或签字）。</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4.1.2 投标文件的封套上应清楚地标记“投标文件”字样，封套上应写明的其他内容见投标人须知前附表。</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4.1.3 未按本章第4.1.1项或第4.1.2项要求密封和加写标记的投标文件，招标人不予受理。</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4.1.</w:t>
      </w:r>
      <w:r>
        <w:rPr>
          <w:rFonts w:hint="eastAsia" w:cs="Calibri" w:asciiTheme="minorEastAsia" w:hAnsiTheme="minorEastAsia" w:eastAsiaTheme="minorEastAsia"/>
          <w:color w:val="000000"/>
          <w:kern w:val="0"/>
          <w:sz w:val="22"/>
        </w:rPr>
        <w:t>4</w:t>
      </w:r>
      <w:r>
        <w:rPr>
          <w:rFonts w:cs="Calibri" w:asciiTheme="minorEastAsia" w:hAnsiTheme="minorEastAsia" w:eastAsiaTheme="minorEastAsia"/>
          <w:sz w:val="22"/>
        </w:rPr>
        <w:t>如果包封上没有按上述规定密封并加以标记，招标人将不承担投标文件错放或提前开封的责任。</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67" w:name="_Toc16616"/>
      <w:r>
        <w:rPr>
          <w:rFonts w:cs="Calibri" w:asciiTheme="minorEastAsia" w:hAnsiTheme="minorEastAsia" w:eastAsiaTheme="minorEastAsia"/>
          <w:b/>
          <w:bCs/>
          <w:kern w:val="0"/>
          <w:sz w:val="22"/>
        </w:rPr>
        <w:t xml:space="preserve">4.2 投标文件的递交 </w:t>
      </w:r>
      <w:bookmarkEnd w:id="67"/>
    </w:p>
    <w:p>
      <w:pPr>
        <w:autoSpaceDE w:val="0"/>
        <w:autoSpaceDN w:val="0"/>
        <w:adjustRightInd w:val="0"/>
        <w:snapToGrid w:val="0"/>
        <w:spacing w:line="360" w:lineRule="exact"/>
        <w:ind w:firstLine="442" w:firstLineChars="200"/>
        <w:rPr>
          <w:rFonts w:cs="Calibri" w:asciiTheme="minorEastAsia" w:hAnsiTheme="minorEastAsia" w:eastAsiaTheme="minorEastAsia"/>
          <w:b/>
          <w:bCs/>
          <w:kern w:val="0"/>
          <w:sz w:val="22"/>
        </w:rPr>
      </w:pPr>
      <w:r>
        <w:rPr>
          <w:rFonts w:cs="Calibri" w:asciiTheme="minorEastAsia" w:hAnsiTheme="minorEastAsia" w:eastAsiaTheme="minorEastAsia"/>
          <w:b/>
          <w:bCs/>
          <w:kern w:val="0"/>
          <w:sz w:val="22"/>
        </w:rPr>
        <w:t>4.2.1投标人应在本须知前附表规定的投标截止时间前递交投标文件。</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4.2.2投标人送达投标文件的地点：见投标人须知前附表。</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4.2.3除投标人须知前附表另有规定外，投标人所递交的投标文件不予退还。</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4.2.</w:t>
      </w:r>
      <w:r>
        <w:rPr>
          <w:rFonts w:hint="eastAsia" w:cs="Calibri" w:asciiTheme="minorEastAsia" w:hAnsiTheme="minorEastAsia" w:eastAsiaTheme="minorEastAsia"/>
          <w:color w:val="000000"/>
          <w:sz w:val="22"/>
        </w:rPr>
        <w:t>4</w:t>
      </w:r>
      <w:r>
        <w:rPr>
          <w:rFonts w:cs="Calibri" w:asciiTheme="minorEastAsia" w:hAnsiTheme="minorEastAsia" w:eastAsiaTheme="minorEastAsia"/>
          <w:color w:val="000000"/>
          <w:sz w:val="22"/>
        </w:rPr>
        <w:t>逾期送达的或者未送达指定地点的投标文件，招标人不予受理。</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68" w:name="_Toc26099"/>
      <w:r>
        <w:rPr>
          <w:rFonts w:cs="Calibri" w:asciiTheme="minorEastAsia" w:hAnsiTheme="minorEastAsia" w:eastAsiaTheme="minorEastAsia"/>
          <w:b/>
          <w:bCs/>
          <w:kern w:val="0"/>
          <w:sz w:val="22"/>
        </w:rPr>
        <w:t>4.3 投标文件的修改和撤回</w:t>
      </w:r>
      <w:bookmarkEnd w:id="68"/>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4.3.1在规定的投标截止时间前，投标人可以修改或撤回已递交的投标文件，但应以书面形式通知招标人。</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4.3.2投标人修改或撤回已递交投标文件的书面通知应按照规定的要求签字。招标人收到书面通知后，向投标人出具签收凭证。</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4.3.3修改的内容为投标文件的组成部分。修改的投标文件应按照本须知3、4规定进行编制、密封、标识和递交，并标明“修改”字样。</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69" w:name="_Toc29641"/>
      <w:r>
        <w:rPr>
          <w:rFonts w:cs="Calibri" w:asciiTheme="minorEastAsia" w:hAnsiTheme="minorEastAsia" w:eastAsiaTheme="minorEastAsia"/>
          <w:b/>
          <w:bCs/>
          <w:kern w:val="0"/>
          <w:sz w:val="22"/>
        </w:rPr>
        <w:t>5.开标</w:t>
      </w:r>
      <w:bookmarkEnd w:id="69"/>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70" w:name="_Toc15123"/>
      <w:r>
        <w:rPr>
          <w:rFonts w:cs="Calibri" w:asciiTheme="minorEastAsia" w:hAnsiTheme="minorEastAsia" w:eastAsiaTheme="minorEastAsia"/>
          <w:b/>
          <w:bCs/>
          <w:kern w:val="0"/>
          <w:sz w:val="22"/>
        </w:rPr>
        <w:t>5.1 开标时间和地点</w:t>
      </w:r>
      <w:bookmarkEnd w:id="70"/>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5.1.1</w:t>
      </w:r>
      <w:r>
        <w:rPr>
          <w:rFonts w:ascii="宋体" w:hAnsi="宋体" w:cs="Calibri"/>
          <w:sz w:val="22"/>
        </w:rPr>
        <w:t>招标人在投标人须知规定的投标截止时间（开标时间）和地点公开开标，并邀请所有投标人的法定代表人或其委托代理人准时参加</w:t>
      </w:r>
      <w:r>
        <w:rPr>
          <w:rFonts w:hint="eastAsia" w:ascii="宋体" w:hAnsi="宋体" w:cs="Calibri"/>
          <w:sz w:val="22"/>
        </w:rPr>
        <w:t>，参加开标的代表应签名报到以证明其出席，未参加开标的投标人视作默认开标结果。</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5.1.2投标人在投标时应随身携带下列资料提交招标人</w:t>
      </w:r>
    </w:p>
    <w:p>
      <w:pPr>
        <w:adjustRightInd w:val="0"/>
        <w:snapToGrid w:val="0"/>
        <w:spacing w:line="360" w:lineRule="exact"/>
        <w:ind w:firstLine="440" w:firstLineChars="200"/>
        <w:rPr>
          <w:rFonts w:cs="Calibri" w:asciiTheme="minorEastAsia" w:hAnsiTheme="minorEastAsia" w:eastAsiaTheme="minorEastAsia"/>
          <w:sz w:val="22"/>
        </w:rPr>
      </w:pPr>
      <w:bookmarkStart w:id="71" w:name="_Toc7101"/>
      <w:r>
        <w:rPr>
          <w:rFonts w:cs="Calibri" w:asciiTheme="minorEastAsia" w:hAnsiTheme="minorEastAsia" w:eastAsiaTheme="minorEastAsia"/>
          <w:sz w:val="22"/>
        </w:rPr>
        <w:t>（1）委托代理人的身份证、法定代表人授权委托书</w:t>
      </w:r>
      <w:r>
        <w:rPr>
          <w:rFonts w:hint="eastAsia" w:cs="Calibri" w:asciiTheme="minorEastAsia" w:hAnsiTheme="minorEastAsia" w:eastAsiaTheme="minorEastAsia"/>
          <w:sz w:val="22"/>
        </w:rPr>
        <w:t>（装订在投标文件内亦可）</w:t>
      </w:r>
      <w:r>
        <w:rPr>
          <w:rFonts w:cs="Calibri" w:asciiTheme="minorEastAsia" w:hAnsiTheme="minorEastAsia" w:eastAsiaTheme="minorEastAsia"/>
          <w:sz w:val="22"/>
        </w:rPr>
        <w:t>；</w:t>
      </w:r>
    </w:p>
    <w:p>
      <w:pPr>
        <w:adjustRightInd w:val="0"/>
        <w:snapToGrid w:val="0"/>
        <w:spacing w:line="360" w:lineRule="exact"/>
        <w:ind w:firstLine="440" w:firstLineChars="200"/>
        <w:rPr>
          <w:rFonts w:cs="Calibri" w:asciiTheme="minorEastAsia" w:hAnsiTheme="minorEastAsia" w:eastAsiaTheme="minorEastAsia"/>
          <w:sz w:val="22"/>
        </w:rPr>
      </w:pPr>
      <w:r>
        <w:rPr>
          <w:rFonts w:cs="Calibri" w:asciiTheme="minorEastAsia" w:hAnsiTheme="minorEastAsia" w:eastAsiaTheme="minorEastAsia"/>
          <w:sz w:val="22"/>
        </w:rPr>
        <w:t>（2）投标保证金收执证明或汇款凭证或银行回单</w:t>
      </w:r>
      <w:r>
        <w:rPr>
          <w:rFonts w:hint="eastAsia" w:cs="Calibri" w:asciiTheme="minorEastAsia" w:hAnsiTheme="minorEastAsia" w:eastAsiaTheme="minorEastAsia"/>
          <w:sz w:val="22"/>
        </w:rPr>
        <w:t>（装订在投标文件内亦可）</w:t>
      </w:r>
      <w:r>
        <w:rPr>
          <w:rFonts w:cs="Calibri" w:asciiTheme="minorEastAsia" w:hAnsiTheme="minorEastAsia" w:eastAsiaTheme="minorEastAsia"/>
          <w:sz w:val="22"/>
        </w:rPr>
        <w:t>。</w:t>
      </w:r>
    </w:p>
    <w:p>
      <w:pPr>
        <w:autoSpaceDE w:val="0"/>
        <w:autoSpaceDN w:val="0"/>
        <w:adjustRightInd w:val="0"/>
        <w:snapToGrid w:val="0"/>
        <w:spacing w:line="360" w:lineRule="exact"/>
        <w:rPr>
          <w:rFonts w:cs="Calibri" w:asciiTheme="minorEastAsia" w:hAnsiTheme="minorEastAsia" w:eastAsiaTheme="minorEastAsia"/>
          <w:b/>
          <w:bCs/>
          <w:kern w:val="0"/>
          <w:sz w:val="22"/>
        </w:rPr>
      </w:pPr>
      <w:r>
        <w:rPr>
          <w:rFonts w:cs="Calibri" w:asciiTheme="minorEastAsia" w:hAnsiTheme="minorEastAsia" w:eastAsiaTheme="minorEastAsia"/>
          <w:b/>
          <w:bCs/>
          <w:kern w:val="0"/>
          <w:sz w:val="22"/>
        </w:rPr>
        <w:t>5.2 开标程序</w:t>
      </w:r>
      <w:bookmarkEnd w:id="71"/>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主持人按下列程序进行开标：</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（1）宣布开标纪律；</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（2）公布在投标截止时间前递交投标文件的投标人名称，并点名确认投标人是否派人到场；</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（3）宣布开标人、唱标人、记录人、监标人等有关人员姓名；</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（4）按照投标人须知前附表规定检查投标文件的密封情况；</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（5）按照投标人须知前附表的规定确定并宣布投标文件开标顺序；</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（6）</w:t>
      </w:r>
      <w:r>
        <w:rPr>
          <w:rFonts w:cs="Calibri" w:asciiTheme="minorEastAsia" w:hAnsiTheme="minorEastAsia" w:eastAsiaTheme="minorEastAsia"/>
          <w:color w:val="000000"/>
          <w:sz w:val="22"/>
        </w:rPr>
        <w:t>按照宣布的开标顺序当众开标，公布投标人名称、投标保证金的递交情况、投标报价、</w:t>
      </w:r>
      <w:r>
        <w:rPr>
          <w:rFonts w:hint="eastAsia" w:cs="Calibri" w:asciiTheme="minorEastAsia" w:hAnsiTheme="minorEastAsia" w:eastAsiaTheme="minorEastAsia"/>
          <w:color w:val="000000"/>
          <w:sz w:val="22"/>
        </w:rPr>
        <w:t>服务期</w:t>
      </w:r>
      <w:r>
        <w:rPr>
          <w:rFonts w:cs="Calibri" w:asciiTheme="minorEastAsia" w:hAnsiTheme="minorEastAsia" w:eastAsiaTheme="minorEastAsia"/>
          <w:color w:val="000000"/>
          <w:sz w:val="22"/>
        </w:rPr>
        <w:t>及其他内容，并记录在案；</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（7）投标人代表、招标人代表、监标人、记录人等有关人员在开标记录上签字确认；</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（8）开标结束。</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72" w:name="_Toc31578"/>
      <w:r>
        <w:rPr>
          <w:rFonts w:cs="Calibri" w:asciiTheme="minorEastAsia" w:hAnsiTheme="minorEastAsia" w:eastAsiaTheme="minorEastAsia"/>
          <w:b/>
          <w:bCs/>
          <w:kern w:val="0"/>
          <w:sz w:val="22"/>
        </w:rPr>
        <w:t>6.评标</w:t>
      </w:r>
      <w:bookmarkEnd w:id="72"/>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73" w:name="_Toc10279"/>
      <w:r>
        <w:rPr>
          <w:rFonts w:cs="Calibri" w:asciiTheme="minorEastAsia" w:hAnsiTheme="minorEastAsia" w:eastAsiaTheme="minorEastAsia"/>
          <w:b/>
          <w:bCs/>
          <w:kern w:val="0"/>
          <w:sz w:val="22"/>
        </w:rPr>
        <w:t>6.1 评标委员会</w:t>
      </w:r>
      <w:bookmarkEnd w:id="73"/>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6.1.1</w:t>
      </w:r>
      <w:r>
        <w:rPr>
          <w:rFonts w:cs="Calibri" w:asciiTheme="minorEastAsia" w:hAnsiTheme="minorEastAsia" w:eastAsiaTheme="minorEastAsia"/>
          <w:kern w:val="0"/>
          <w:sz w:val="22"/>
        </w:rPr>
        <w:t>评标由招标人依法组建的评标委员会负责。评标委员会成员人数以及技术、经济等方面专家的确定方式见投标人须知前附表。</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6.1.2评标委员会成员有下列情形之一的，应当回避：</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（1）招标人或投标人的主要负责人的近亲属；</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（2）项目主管部门或者行政监督部门的人员；</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（3）与投标人有经济利益关系，可能影响对投标公正评审的；</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（4）曾因在招标、评标以及其他与招标投标有关活动中从事违法行为而受过行政处罚或刑事处罚的。</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74" w:name="_Toc3460"/>
      <w:r>
        <w:rPr>
          <w:rFonts w:cs="Calibri" w:asciiTheme="minorEastAsia" w:hAnsiTheme="minorEastAsia" w:eastAsiaTheme="minorEastAsia"/>
          <w:b/>
          <w:bCs/>
          <w:kern w:val="0"/>
          <w:sz w:val="22"/>
        </w:rPr>
        <w:t>6.2 评标原则</w:t>
      </w:r>
      <w:bookmarkEnd w:id="74"/>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评标活动遵循公平、公正、科学和择优的原则。</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75" w:name="_Toc28178"/>
      <w:r>
        <w:rPr>
          <w:rFonts w:cs="Calibri" w:asciiTheme="minorEastAsia" w:hAnsiTheme="minorEastAsia" w:eastAsiaTheme="minorEastAsia"/>
          <w:b/>
          <w:bCs/>
          <w:kern w:val="0"/>
          <w:sz w:val="22"/>
        </w:rPr>
        <w:t>6.3 评标</w:t>
      </w:r>
      <w:bookmarkEnd w:id="75"/>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评标委员会按照第</w:t>
      </w:r>
      <w:r>
        <w:rPr>
          <w:rFonts w:hint="eastAsia" w:cs="Calibri" w:asciiTheme="minorEastAsia" w:hAnsiTheme="minorEastAsia" w:eastAsiaTheme="minorEastAsia"/>
          <w:color w:val="000000"/>
          <w:kern w:val="0"/>
          <w:sz w:val="22"/>
        </w:rPr>
        <w:t>五</w:t>
      </w:r>
      <w:r>
        <w:rPr>
          <w:rFonts w:cs="Calibri" w:asciiTheme="minorEastAsia" w:hAnsiTheme="minorEastAsia" w:eastAsiaTheme="minorEastAsia"/>
          <w:color w:val="000000"/>
          <w:kern w:val="0"/>
          <w:sz w:val="22"/>
        </w:rPr>
        <w:t>章“评标方法及标准”对投标文件进行评审。第</w:t>
      </w:r>
      <w:r>
        <w:rPr>
          <w:rFonts w:hint="eastAsia" w:cs="Calibri" w:asciiTheme="minorEastAsia" w:hAnsiTheme="minorEastAsia" w:eastAsiaTheme="minorEastAsia"/>
          <w:color w:val="000000"/>
          <w:kern w:val="0"/>
          <w:sz w:val="22"/>
        </w:rPr>
        <w:t>五</w:t>
      </w:r>
      <w:r>
        <w:rPr>
          <w:rFonts w:cs="Calibri" w:asciiTheme="minorEastAsia" w:hAnsiTheme="minorEastAsia" w:eastAsiaTheme="minorEastAsia"/>
          <w:color w:val="000000"/>
          <w:kern w:val="0"/>
          <w:sz w:val="22"/>
        </w:rPr>
        <w:t>章“评标方法及标准”没有规定的方法、评审因素和标准，不作为评标依据。</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76" w:name="_Toc24237"/>
      <w:r>
        <w:rPr>
          <w:rFonts w:cs="Calibri" w:asciiTheme="minorEastAsia" w:hAnsiTheme="minorEastAsia" w:eastAsiaTheme="minorEastAsia"/>
          <w:b/>
          <w:bCs/>
          <w:kern w:val="0"/>
          <w:sz w:val="22"/>
        </w:rPr>
        <w:t>7.合同授予</w:t>
      </w:r>
      <w:bookmarkEnd w:id="76"/>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77" w:name="_Toc18809"/>
      <w:r>
        <w:rPr>
          <w:rFonts w:cs="Calibri" w:asciiTheme="minorEastAsia" w:hAnsiTheme="minorEastAsia" w:eastAsiaTheme="minorEastAsia"/>
          <w:b/>
          <w:bCs/>
          <w:kern w:val="0"/>
          <w:sz w:val="22"/>
        </w:rPr>
        <w:t>7.1 定标方式</w:t>
      </w:r>
      <w:bookmarkEnd w:id="77"/>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除投标人须知前附表规定评标委员会直接确定中标人外，招标人依据评标委员会推荐的中标候选人确定中标人，评标委员会推荐中标候选人的人数见投标人须知前附表。</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78" w:name="_Toc14573"/>
      <w:r>
        <w:rPr>
          <w:rFonts w:cs="Calibri" w:asciiTheme="minorEastAsia" w:hAnsiTheme="minorEastAsia" w:eastAsiaTheme="minorEastAsia"/>
          <w:b/>
          <w:bCs/>
          <w:kern w:val="0"/>
          <w:sz w:val="22"/>
        </w:rPr>
        <w:t>7.2 中标通知</w:t>
      </w:r>
      <w:bookmarkEnd w:id="78"/>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在投标人须知第3.4款规定的投标有效期内，招标人以书面形式向中标人发出中标通知书。</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79" w:name="_Toc27132"/>
      <w:r>
        <w:rPr>
          <w:rFonts w:hint="eastAsia" w:cs="Calibri" w:asciiTheme="minorEastAsia" w:hAnsiTheme="minorEastAsia" w:eastAsiaTheme="minorEastAsia"/>
          <w:b/>
          <w:bCs/>
          <w:kern w:val="0"/>
          <w:sz w:val="22"/>
        </w:rPr>
        <w:t>7.3 履约保证金</w:t>
      </w:r>
      <w:bookmarkEnd w:id="79"/>
    </w:p>
    <w:p>
      <w:pPr>
        <w:adjustRightInd w:val="0"/>
        <w:snapToGrid w:val="0"/>
        <w:spacing w:line="360" w:lineRule="exact"/>
        <w:ind w:firstLine="440" w:firstLineChars="200"/>
        <w:rPr>
          <w:rFonts w:cs="Calibri" w:asciiTheme="minorEastAsia" w:hAnsiTheme="minorEastAsia" w:eastAsiaTheme="minorEastAsia"/>
          <w:kern w:val="0"/>
          <w:sz w:val="22"/>
        </w:rPr>
      </w:pPr>
      <w:r>
        <w:rPr>
          <w:rFonts w:hint="eastAsia" w:cs="Calibri" w:asciiTheme="minorEastAsia" w:hAnsiTheme="minorEastAsia" w:eastAsiaTheme="minorEastAsia"/>
          <w:kern w:val="0"/>
          <w:sz w:val="22"/>
        </w:rPr>
        <w:t>7.3.1在签订合同前，中标人应按投标人须知前附表规定的金额和担保形式向招标人提交履约保证金。</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hint="eastAsia" w:cs="Calibri" w:asciiTheme="minorEastAsia" w:hAnsiTheme="minorEastAsia" w:eastAsiaTheme="minorEastAsia"/>
          <w:kern w:val="0"/>
          <w:sz w:val="22"/>
        </w:rPr>
        <w:t>7.3.2 中标人不能按本章第7.3.1项要求提交履约保证金的，视为放弃中标，其投标保证金不予退还，给招标人造成的损失超过投标保证金数额的，中标人还应当对超过部分予以赔偿。</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80" w:name="_Toc27581"/>
      <w:r>
        <w:rPr>
          <w:rFonts w:cs="Calibri" w:asciiTheme="minorEastAsia" w:hAnsiTheme="minorEastAsia" w:eastAsiaTheme="minorEastAsia"/>
          <w:b/>
          <w:bCs/>
          <w:kern w:val="0"/>
          <w:sz w:val="22"/>
        </w:rPr>
        <w:t>7.</w:t>
      </w:r>
      <w:r>
        <w:rPr>
          <w:rFonts w:hint="eastAsia" w:cs="Calibri" w:asciiTheme="minorEastAsia" w:hAnsiTheme="minorEastAsia" w:eastAsiaTheme="minorEastAsia"/>
          <w:b/>
          <w:bCs/>
          <w:kern w:val="0"/>
          <w:sz w:val="22"/>
        </w:rPr>
        <w:t>4</w:t>
      </w:r>
      <w:r>
        <w:rPr>
          <w:rFonts w:cs="Calibri" w:asciiTheme="minorEastAsia" w:hAnsiTheme="minorEastAsia" w:eastAsiaTheme="minorEastAsia"/>
          <w:b/>
          <w:bCs/>
          <w:kern w:val="0"/>
          <w:sz w:val="22"/>
        </w:rPr>
        <w:t xml:space="preserve"> 签订合同</w:t>
      </w:r>
      <w:bookmarkEnd w:id="80"/>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sz w:val="22"/>
        </w:rPr>
        <w:t>7</w:t>
      </w:r>
      <w:bookmarkStart w:id="81" w:name="_Toc219809801"/>
      <w:bookmarkStart w:id="82" w:name="_Toc220123241"/>
      <w:bookmarkStart w:id="83" w:name="_Toc11806"/>
      <w:r>
        <w:rPr>
          <w:rFonts w:cs="Calibri" w:asciiTheme="minorEastAsia" w:hAnsiTheme="minorEastAsia" w:eastAsiaTheme="minorEastAsia"/>
          <w:color w:val="000000"/>
          <w:kern w:val="0"/>
          <w:sz w:val="22"/>
        </w:rPr>
        <w:t>.</w:t>
      </w:r>
      <w:r>
        <w:rPr>
          <w:rFonts w:hint="eastAsia" w:cs="Calibri" w:asciiTheme="minorEastAsia" w:hAnsiTheme="minorEastAsia" w:eastAsiaTheme="minorEastAsia"/>
          <w:color w:val="000000"/>
          <w:kern w:val="0"/>
          <w:sz w:val="22"/>
        </w:rPr>
        <w:t>4</w:t>
      </w:r>
      <w:r>
        <w:rPr>
          <w:rFonts w:cs="Calibri" w:asciiTheme="minorEastAsia" w:hAnsiTheme="minorEastAsia" w:eastAsiaTheme="minorEastAsia"/>
          <w:color w:val="000000"/>
          <w:kern w:val="0"/>
          <w:sz w:val="22"/>
        </w:rPr>
        <w:t>.1招标人和中标人应当自中标通知书发出之日起30个工作日内订立书面合同（合同条款按第</w:t>
      </w:r>
      <w:r>
        <w:rPr>
          <w:rFonts w:hint="eastAsia" w:cs="Calibri" w:asciiTheme="minorEastAsia" w:hAnsiTheme="minorEastAsia" w:eastAsiaTheme="minorEastAsia"/>
          <w:color w:val="000000"/>
          <w:kern w:val="0"/>
          <w:sz w:val="22"/>
        </w:rPr>
        <w:t>四</w:t>
      </w:r>
      <w:r>
        <w:rPr>
          <w:rFonts w:cs="Calibri" w:asciiTheme="minorEastAsia" w:hAnsiTheme="minorEastAsia" w:eastAsiaTheme="minorEastAsia"/>
          <w:color w:val="000000"/>
          <w:kern w:val="0"/>
          <w:sz w:val="22"/>
        </w:rPr>
        <w:t>章</w:t>
      </w:r>
      <w:r>
        <w:rPr>
          <w:rFonts w:hint="eastAsia" w:cs="Calibri" w:asciiTheme="minorEastAsia" w:hAnsiTheme="minorEastAsia" w:eastAsiaTheme="minorEastAsia"/>
          <w:kern w:val="0"/>
          <w:sz w:val="22"/>
        </w:rPr>
        <w:t>“</w:t>
      </w:r>
      <w:r>
        <w:rPr>
          <w:rFonts w:cs="Calibri" w:asciiTheme="minorEastAsia" w:hAnsiTheme="minorEastAsia" w:eastAsiaTheme="minorEastAsia"/>
          <w:kern w:val="0"/>
          <w:sz w:val="22"/>
        </w:rPr>
        <w:t>合同条款</w:t>
      </w:r>
      <w:r>
        <w:rPr>
          <w:rFonts w:hint="eastAsia" w:cs="Calibri" w:asciiTheme="minorEastAsia" w:hAnsiTheme="minorEastAsia" w:eastAsiaTheme="minorEastAsia"/>
          <w:kern w:val="0"/>
          <w:sz w:val="22"/>
        </w:rPr>
        <w:t>”</w:t>
      </w:r>
      <w:r>
        <w:rPr>
          <w:rFonts w:cs="Calibri" w:asciiTheme="minorEastAsia" w:hAnsiTheme="minorEastAsia" w:eastAsiaTheme="minorEastAsia"/>
          <w:color w:val="000000"/>
          <w:kern w:val="0"/>
          <w:sz w:val="22"/>
        </w:rPr>
        <w:t>）。中标人无正当理由拒签协议的，招标人取消其中标资格，其投标保证金不予退还；给招标人造成的损失超过投标保证金数额的，中标人还应当对超过部分予以赔偿。</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7.</w:t>
      </w:r>
      <w:r>
        <w:rPr>
          <w:rFonts w:hint="eastAsia" w:cs="Calibri" w:asciiTheme="minorEastAsia" w:hAnsiTheme="minorEastAsia" w:eastAsiaTheme="minorEastAsia"/>
          <w:color w:val="000000"/>
          <w:kern w:val="0"/>
          <w:sz w:val="22"/>
        </w:rPr>
        <w:t>4</w:t>
      </w:r>
      <w:r>
        <w:rPr>
          <w:rFonts w:cs="Calibri" w:asciiTheme="minorEastAsia" w:hAnsiTheme="minorEastAsia" w:eastAsiaTheme="minorEastAsia"/>
          <w:color w:val="000000"/>
          <w:kern w:val="0"/>
          <w:sz w:val="22"/>
        </w:rPr>
        <w:t>.2 发出中标通知书后，招标人无正当理由拒签合同的，招标人向中标人退还投标保证金；给中标人造成损失的，还应当赔偿损失。</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hint="eastAsia" w:cs="Calibri" w:asciiTheme="minorEastAsia" w:hAnsiTheme="minorEastAsia" w:eastAsiaTheme="minorEastAsia"/>
          <w:color w:val="000000"/>
          <w:kern w:val="0"/>
          <w:sz w:val="22"/>
        </w:rPr>
        <w:t>7.4.3 招标人在授予合同有权对本项目的服务内容等予以增加或者减少，中标人不得提出异议，否则招标人有权取消其中标资格。</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hint="eastAsia" w:cs="Calibri" w:asciiTheme="minorEastAsia" w:hAnsiTheme="minorEastAsia" w:eastAsiaTheme="minorEastAsia"/>
          <w:color w:val="000000"/>
          <w:kern w:val="0"/>
          <w:sz w:val="22"/>
        </w:rPr>
        <w:t>7.4.4 招标人在授予合同前的任何时候，仍保留接受或者拒绝任何投标和拒绝所有投标的权利。</w:t>
      </w:r>
    </w:p>
    <w:p>
      <w:pPr>
        <w:autoSpaceDE w:val="0"/>
        <w:autoSpaceDN w:val="0"/>
        <w:adjustRightInd w:val="0"/>
        <w:snapToGrid w:val="0"/>
        <w:spacing w:line="360" w:lineRule="exact"/>
        <w:rPr>
          <w:rFonts w:cs="Calibri" w:asciiTheme="minorEastAsia" w:hAnsiTheme="minorEastAsia" w:eastAsiaTheme="minorEastAsia"/>
          <w:b/>
          <w:bCs/>
          <w:kern w:val="0"/>
          <w:sz w:val="22"/>
        </w:rPr>
      </w:pPr>
      <w:r>
        <w:rPr>
          <w:rFonts w:cs="Calibri" w:asciiTheme="minorEastAsia" w:hAnsiTheme="minorEastAsia" w:eastAsiaTheme="minorEastAsia"/>
          <w:b/>
          <w:bCs/>
          <w:kern w:val="0"/>
          <w:sz w:val="22"/>
        </w:rPr>
        <w:t>8.重新招标和不再招标</w:t>
      </w:r>
      <w:bookmarkEnd w:id="81"/>
      <w:bookmarkEnd w:id="82"/>
      <w:bookmarkEnd w:id="83"/>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84" w:name="_Toc219809802"/>
      <w:bookmarkStart w:id="85" w:name="_Toc220123242"/>
      <w:bookmarkStart w:id="86" w:name="_Toc15553"/>
      <w:r>
        <w:rPr>
          <w:rFonts w:cs="Calibri" w:asciiTheme="minorEastAsia" w:hAnsiTheme="minorEastAsia" w:eastAsiaTheme="minorEastAsia"/>
          <w:b/>
          <w:bCs/>
          <w:kern w:val="0"/>
          <w:sz w:val="22"/>
        </w:rPr>
        <w:t>8.1 重新招标</w:t>
      </w:r>
      <w:bookmarkEnd w:id="84"/>
      <w:bookmarkEnd w:id="85"/>
      <w:bookmarkEnd w:id="86"/>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有下列情形之一的，招标人将重新招标；</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cs="Calibri" w:asciiTheme="minorEastAsia" w:hAnsiTheme="minorEastAsia" w:eastAsiaTheme="minorEastAsia"/>
          <w:color w:val="000000"/>
          <w:kern w:val="0"/>
          <w:sz w:val="22"/>
        </w:rPr>
        <w:t>（1）投标截止时间止，投标人少于3个的；</w:t>
      </w:r>
    </w:p>
    <w:p>
      <w:pPr>
        <w:adjustRightInd w:val="0"/>
        <w:snapToGrid w:val="0"/>
        <w:spacing w:line="360" w:lineRule="exact"/>
        <w:ind w:firstLine="440" w:firstLineChars="200"/>
        <w:rPr>
          <w:rFonts w:cs="Calibri" w:asciiTheme="minorEastAsia" w:hAnsiTheme="minorEastAsia" w:eastAsiaTheme="minorEastAsia"/>
          <w:color w:val="000000"/>
          <w:kern w:val="0"/>
          <w:sz w:val="22"/>
        </w:rPr>
      </w:pPr>
      <w:r>
        <w:rPr>
          <w:rFonts w:hint="eastAsia" w:cs="Calibri" w:asciiTheme="minorEastAsia" w:hAnsiTheme="minorEastAsia" w:eastAsiaTheme="minorEastAsia"/>
          <w:color w:val="000000"/>
          <w:kern w:val="0"/>
          <w:sz w:val="22"/>
        </w:rPr>
        <w:t>（2）</w:t>
      </w:r>
      <w:r>
        <w:rPr>
          <w:rFonts w:hint="eastAsia" w:asciiTheme="minorEastAsia" w:hAnsiTheme="minorEastAsia" w:eastAsiaTheme="minorEastAsia"/>
          <w:bCs/>
          <w:sz w:val="22"/>
        </w:rPr>
        <w:t>所有投标人的报价均偏高，招标人无法接受的；</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kern w:val="0"/>
          <w:sz w:val="22"/>
        </w:rPr>
        <w:t>（</w:t>
      </w:r>
      <w:r>
        <w:rPr>
          <w:rFonts w:hint="eastAsia" w:cs="Calibri" w:asciiTheme="minorEastAsia" w:hAnsiTheme="minorEastAsia" w:eastAsiaTheme="minorEastAsia"/>
          <w:color w:val="000000"/>
          <w:kern w:val="0"/>
          <w:sz w:val="22"/>
        </w:rPr>
        <w:t>3</w:t>
      </w:r>
      <w:r>
        <w:rPr>
          <w:rFonts w:cs="Calibri" w:asciiTheme="minorEastAsia" w:hAnsiTheme="minorEastAsia" w:eastAsiaTheme="minorEastAsia"/>
          <w:color w:val="000000"/>
          <w:kern w:val="0"/>
          <w:sz w:val="22"/>
        </w:rPr>
        <w:t>）经评标委员会评审后否决所有投标的。</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87" w:name="_Toc219809803"/>
      <w:bookmarkStart w:id="88" w:name="_Toc220123243"/>
      <w:bookmarkStart w:id="89" w:name="_Toc18806"/>
      <w:r>
        <w:rPr>
          <w:rFonts w:cs="Calibri" w:asciiTheme="minorEastAsia" w:hAnsiTheme="minorEastAsia" w:eastAsiaTheme="minorEastAsia"/>
          <w:b/>
          <w:bCs/>
          <w:kern w:val="0"/>
          <w:sz w:val="22"/>
        </w:rPr>
        <w:t>8.2 不再招标</w:t>
      </w:r>
      <w:bookmarkEnd w:id="87"/>
      <w:bookmarkEnd w:id="88"/>
      <w:bookmarkEnd w:id="89"/>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重新招标后投标人仍少于3个或者所有投标被否决的，经批准后不再进行招标。</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90" w:name="_Toc215941254"/>
      <w:bookmarkStart w:id="91" w:name="_Toc219809804"/>
      <w:bookmarkStart w:id="92" w:name="_Toc220123244"/>
      <w:bookmarkStart w:id="93" w:name="_Toc2986"/>
      <w:r>
        <w:rPr>
          <w:rFonts w:cs="Calibri" w:asciiTheme="minorEastAsia" w:hAnsiTheme="minorEastAsia" w:eastAsiaTheme="minorEastAsia"/>
          <w:b/>
          <w:bCs/>
          <w:kern w:val="0"/>
          <w:sz w:val="22"/>
        </w:rPr>
        <w:t>9.纪律和监督</w:t>
      </w:r>
      <w:bookmarkEnd w:id="90"/>
      <w:bookmarkEnd w:id="91"/>
      <w:bookmarkEnd w:id="92"/>
      <w:bookmarkEnd w:id="93"/>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94" w:name="_Toc219809805"/>
      <w:bookmarkStart w:id="95" w:name="_Toc220123245"/>
      <w:bookmarkStart w:id="96" w:name="_Toc5509"/>
      <w:r>
        <w:rPr>
          <w:rFonts w:cs="Calibri" w:asciiTheme="minorEastAsia" w:hAnsiTheme="minorEastAsia" w:eastAsiaTheme="minorEastAsia"/>
          <w:b/>
          <w:bCs/>
          <w:kern w:val="0"/>
          <w:sz w:val="22"/>
        </w:rPr>
        <w:t>9.1 对招标人的纪律要求</w:t>
      </w:r>
      <w:bookmarkEnd w:id="94"/>
      <w:bookmarkEnd w:id="95"/>
      <w:bookmarkEnd w:id="96"/>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招标人不得泄漏招标投标活动中应当保密的情况和资料，不得与投标人串通损害国家利益、社会公共利益或者他人合法权益。</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97" w:name="_Toc219809806"/>
      <w:bookmarkStart w:id="98" w:name="_Toc220123246"/>
      <w:bookmarkStart w:id="99" w:name="_Toc10820"/>
      <w:r>
        <w:rPr>
          <w:rFonts w:cs="Calibri" w:asciiTheme="minorEastAsia" w:hAnsiTheme="minorEastAsia" w:eastAsiaTheme="minorEastAsia"/>
          <w:b/>
          <w:bCs/>
          <w:kern w:val="0"/>
          <w:sz w:val="22"/>
        </w:rPr>
        <w:t>9.2 对投标人的纪律要求</w:t>
      </w:r>
      <w:bookmarkEnd w:id="97"/>
      <w:bookmarkEnd w:id="98"/>
      <w:bookmarkEnd w:id="99"/>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投标人不得相互串通投标或者与招标人串通投标，不得向招标人或者评标委员会成员行贿谋取中标，不得以他人名义投标或者以其他方式弄虚作假骗取中标；投标人不得以任何方式干扰、影响评标工作。</w:t>
      </w:r>
    </w:p>
    <w:p>
      <w:pPr>
        <w:adjustRightInd w:val="0"/>
        <w:snapToGrid w:val="0"/>
        <w:spacing w:line="360" w:lineRule="exact"/>
        <w:ind w:firstLine="440"/>
        <w:rPr>
          <w:rFonts w:cs="Calibri" w:asciiTheme="minorEastAsia" w:hAnsiTheme="minorEastAsia" w:eastAsiaTheme="minorEastAsia"/>
          <w:color w:val="000000"/>
          <w:sz w:val="22"/>
        </w:rPr>
      </w:pPr>
      <w:r>
        <w:rPr>
          <w:rFonts w:hint="eastAsia" w:ascii="宋体" w:hAnsi="宋体" w:cs="Calibri"/>
          <w:color w:val="000000"/>
          <w:sz w:val="22"/>
        </w:rPr>
        <w:t>若投标人存在串通投标或弄虚作假或有其他违法行为的，招标人有权没收投标人的投标保证金，2年内禁止参与招标人所有招标项目的投标，给招标人造成损失的，还需承担赔偿责任。</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100" w:name="_Toc219809807"/>
      <w:bookmarkStart w:id="101" w:name="_Toc220123247"/>
      <w:bookmarkStart w:id="102" w:name="_Toc10756"/>
      <w:r>
        <w:rPr>
          <w:rFonts w:cs="Calibri" w:asciiTheme="minorEastAsia" w:hAnsiTheme="minorEastAsia" w:eastAsiaTheme="minorEastAsia"/>
          <w:b/>
          <w:bCs/>
          <w:kern w:val="0"/>
          <w:sz w:val="22"/>
        </w:rPr>
        <w:t>9.3 对评标委员会成员的纪律要求</w:t>
      </w:r>
      <w:bookmarkEnd w:id="100"/>
      <w:bookmarkEnd w:id="101"/>
      <w:bookmarkEnd w:id="102"/>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评标委员会成员不得收受他人的财物或者其他好处，不得向他人透露对投标文件的评审和比较、中标候选人的推荐情况以及评标有关的其他情况。在评标活动中，评标委员会成员不得擅离职守，影响评标程序正常进行，不得使用第</w:t>
      </w:r>
      <w:r>
        <w:rPr>
          <w:rFonts w:hint="eastAsia" w:cs="Calibri" w:asciiTheme="minorEastAsia" w:hAnsiTheme="minorEastAsia" w:eastAsiaTheme="minorEastAsia"/>
          <w:color w:val="000000"/>
          <w:sz w:val="22"/>
        </w:rPr>
        <w:t>五</w:t>
      </w:r>
      <w:r>
        <w:rPr>
          <w:rFonts w:cs="Calibri" w:asciiTheme="minorEastAsia" w:hAnsiTheme="minorEastAsia" w:eastAsiaTheme="minorEastAsia"/>
          <w:color w:val="000000"/>
          <w:sz w:val="22"/>
        </w:rPr>
        <w:t>章“评标办法及标准”没有规定的评审因素和标准进行评标。</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103" w:name="_Toc219809808"/>
      <w:bookmarkStart w:id="104" w:name="_Toc220123248"/>
      <w:bookmarkStart w:id="105" w:name="_Toc12792"/>
      <w:r>
        <w:rPr>
          <w:rFonts w:cs="Calibri" w:asciiTheme="minorEastAsia" w:hAnsiTheme="minorEastAsia" w:eastAsiaTheme="minorEastAsia"/>
          <w:b/>
          <w:bCs/>
          <w:kern w:val="0"/>
          <w:sz w:val="22"/>
        </w:rPr>
        <w:t>9.4 对评标活动有关的工作人员的纪律要求</w:t>
      </w:r>
      <w:bookmarkEnd w:id="103"/>
      <w:bookmarkEnd w:id="104"/>
      <w:bookmarkEnd w:id="105"/>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与评标活动有关的工作人员不得收受他人的财务或者其他好处，不得向他人透露对投标文件的评审和比较、中标候选人的推荐情况以及评标有关的其他情况。在评标活动中，与评标活动有关的工作人员不得擅离职守，影响评标程序正常进行。</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106" w:name="_Toc219809809"/>
      <w:bookmarkStart w:id="107" w:name="_Toc220123249"/>
      <w:bookmarkStart w:id="108" w:name="_Toc239"/>
      <w:r>
        <w:rPr>
          <w:rFonts w:cs="Calibri" w:asciiTheme="minorEastAsia" w:hAnsiTheme="minorEastAsia" w:eastAsiaTheme="minorEastAsia"/>
          <w:b/>
          <w:bCs/>
          <w:kern w:val="0"/>
          <w:sz w:val="22"/>
        </w:rPr>
        <w:t>9.5 投诉</w:t>
      </w:r>
      <w:bookmarkEnd w:id="106"/>
      <w:bookmarkEnd w:id="107"/>
      <w:bookmarkEnd w:id="108"/>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投标人和其他利害关系人认为本次招标活动违反法律、法规和规章规定的，有权向有关行政监督部门投诉。</w:t>
      </w:r>
    </w:p>
    <w:p>
      <w:pPr>
        <w:autoSpaceDE w:val="0"/>
        <w:autoSpaceDN w:val="0"/>
        <w:adjustRightInd w:val="0"/>
        <w:snapToGrid w:val="0"/>
        <w:spacing w:line="360" w:lineRule="exact"/>
        <w:rPr>
          <w:rFonts w:cs="Calibri" w:asciiTheme="minorEastAsia" w:hAnsiTheme="minorEastAsia" w:eastAsiaTheme="minorEastAsia"/>
          <w:b/>
          <w:bCs/>
          <w:kern w:val="0"/>
          <w:sz w:val="22"/>
        </w:rPr>
      </w:pPr>
      <w:bookmarkStart w:id="109" w:name="_Toc10817"/>
      <w:r>
        <w:rPr>
          <w:rFonts w:cs="Calibri" w:asciiTheme="minorEastAsia" w:hAnsiTheme="minorEastAsia" w:eastAsiaTheme="minorEastAsia"/>
          <w:b/>
          <w:bCs/>
          <w:kern w:val="0"/>
          <w:sz w:val="22"/>
        </w:rPr>
        <w:t>10. 需要补充的其他内容</w:t>
      </w:r>
      <w:bookmarkEnd w:id="109"/>
    </w:p>
    <w:p>
      <w:pPr>
        <w:autoSpaceDE w:val="0"/>
        <w:autoSpaceDN w:val="0"/>
        <w:adjustRightInd w:val="0"/>
        <w:snapToGrid w:val="0"/>
        <w:spacing w:line="360" w:lineRule="exact"/>
        <w:ind w:firstLine="440" w:firstLineChars="200"/>
        <w:jc w:val="left"/>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需要补充的其他内容：见投标人须知前附表。</w:t>
      </w:r>
    </w:p>
    <w:p>
      <w:pPr>
        <w:pStyle w:val="2"/>
        <w:snapToGrid w:val="0"/>
        <w:spacing w:before="0" w:after="0" w:line="360" w:lineRule="exact"/>
        <w:jc w:val="center"/>
        <w:rPr>
          <w:rFonts w:asciiTheme="minorEastAsia" w:hAnsiTheme="minorEastAsia" w:eastAsiaTheme="minorEastAsia"/>
          <w:sz w:val="22"/>
          <w:szCs w:val="22"/>
        </w:rPr>
        <w:sectPr>
          <w:footerReference r:id="rId6" w:type="first"/>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pPr>
    </w:p>
    <w:p>
      <w:pPr>
        <w:spacing w:line="440" w:lineRule="exact"/>
        <w:jc w:val="center"/>
        <w:rPr>
          <w:rFonts w:ascii="仿宋_GB2312" w:hAnsi="宋体" w:eastAsia="仿宋_GB2312"/>
          <w:b/>
          <w:sz w:val="28"/>
          <w:szCs w:val="28"/>
        </w:rPr>
      </w:pPr>
      <w:bookmarkStart w:id="110" w:name="_Toc213036227"/>
      <w:bookmarkStart w:id="111" w:name="_Toc223327527"/>
    </w:p>
    <w:p>
      <w:pPr>
        <w:pStyle w:val="2"/>
        <w:spacing w:before="0" w:after="0" w:line="360" w:lineRule="auto"/>
        <w:jc w:val="center"/>
        <w:rPr>
          <w:rFonts w:ascii="Calibri" w:hAnsi="Calibri" w:eastAsia="黑体" w:cs="Calibri"/>
          <w:kern w:val="0"/>
          <w:sz w:val="32"/>
        </w:rPr>
      </w:pPr>
      <w:bookmarkStart w:id="112" w:name="_Toc448002985"/>
      <w:r>
        <w:rPr>
          <w:rFonts w:ascii="Calibri" w:hAnsi="Calibri" w:eastAsia="黑体" w:cs="Calibri"/>
          <w:kern w:val="0"/>
          <w:sz w:val="32"/>
        </w:rPr>
        <w:t>第</w:t>
      </w:r>
      <w:r>
        <w:rPr>
          <w:rFonts w:hint="eastAsia" w:ascii="Calibri" w:hAnsi="Calibri" w:eastAsia="黑体" w:cs="Calibri"/>
          <w:kern w:val="0"/>
          <w:sz w:val="32"/>
        </w:rPr>
        <w:t>三</w:t>
      </w:r>
      <w:r>
        <w:rPr>
          <w:rFonts w:ascii="Calibri" w:hAnsi="Calibri" w:eastAsia="黑体" w:cs="Calibri"/>
          <w:kern w:val="0"/>
          <w:sz w:val="32"/>
        </w:rPr>
        <w:t xml:space="preserve">章  </w:t>
      </w:r>
      <w:bookmarkEnd w:id="110"/>
      <w:bookmarkEnd w:id="111"/>
      <w:r>
        <w:rPr>
          <w:rFonts w:hint="eastAsia" w:ascii="Calibri" w:hAnsi="Calibri" w:eastAsia="黑体" w:cs="Calibri"/>
          <w:kern w:val="0"/>
          <w:sz w:val="32"/>
        </w:rPr>
        <w:t>服务技术标准及要求</w:t>
      </w:r>
      <w:bookmarkEnd w:id="112"/>
    </w:p>
    <w:p>
      <w:pPr>
        <w:adjustRightInd w:val="0"/>
        <w:snapToGrid w:val="0"/>
        <w:spacing w:line="400" w:lineRule="exact"/>
        <w:ind w:firstLine="442" w:firstLineChars="200"/>
        <w:outlineLvl w:val="0"/>
        <w:rPr>
          <w:rFonts w:ascii="宋体" w:hAnsi="宋体"/>
          <w:b/>
          <w:bCs/>
          <w:kern w:val="44"/>
          <w:sz w:val="22"/>
          <w:szCs w:val="21"/>
          <w:lang w:val="zh-CN"/>
        </w:rPr>
      </w:pPr>
      <w:bookmarkStart w:id="113" w:name="_Toc472337583"/>
      <w:r>
        <w:rPr>
          <w:rFonts w:hint="eastAsia" w:ascii="宋体" w:hAnsi="宋体"/>
          <w:b/>
          <w:bCs/>
          <w:kern w:val="44"/>
          <w:sz w:val="22"/>
          <w:szCs w:val="21"/>
          <w:lang w:val="zh-CN"/>
        </w:rPr>
        <w:t>一、项目简介</w:t>
      </w:r>
    </w:p>
    <w:p>
      <w:pPr>
        <w:adjustRightInd w:val="0"/>
        <w:snapToGrid w:val="0"/>
        <w:spacing w:line="400" w:lineRule="exact"/>
        <w:ind w:firstLine="442" w:firstLineChars="200"/>
        <w:outlineLvl w:val="0"/>
        <w:rPr>
          <w:rFonts w:ascii="宋体" w:hAnsi="宋体"/>
          <w:b/>
          <w:bCs/>
          <w:kern w:val="44"/>
          <w:sz w:val="22"/>
          <w:szCs w:val="21"/>
          <w:lang w:val="zh-CN"/>
        </w:rPr>
      </w:pPr>
      <w:r>
        <w:rPr>
          <w:rFonts w:hint="eastAsia" w:ascii="宋体" w:hAnsi="宋体"/>
          <w:b/>
          <w:bCs/>
          <w:kern w:val="44"/>
          <w:sz w:val="22"/>
          <w:szCs w:val="21"/>
          <w:lang w:val="zh-CN"/>
        </w:rPr>
        <w:t>1.项目背景</w:t>
      </w:r>
      <w:bookmarkEnd w:id="113"/>
    </w:p>
    <w:p>
      <w:pPr>
        <w:adjustRightInd w:val="0"/>
        <w:snapToGrid w:val="0"/>
        <w:spacing w:line="400" w:lineRule="exact"/>
        <w:ind w:firstLine="440" w:firstLineChars="200"/>
        <w:rPr>
          <w:rFonts w:ascii="宋体" w:hAnsi="宋体"/>
          <w:sz w:val="22"/>
          <w:szCs w:val="21"/>
        </w:rPr>
      </w:pPr>
      <w:r>
        <w:rPr>
          <w:rFonts w:hint="eastAsia" w:ascii="宋体" w:hAnsi="宋体"/>
          <w:sz w:val="22"/>
          <w:szCs w:val="21"/>
        </w:rPr>
        <w:t>近些年来，长三角城市群经济增长快速，经济总量占全国的比重约为23%。长三角体系是我国最繁忙也是最重要的航空市场之一，航空旅客吞吐量约占全国总量为20%，总体上与经济总量占全国份额相适应。根据2015年开展的《长三角世界级城市群民航协调发展战略研究》，预计2020年长三角航空旅客量约2.22亿人次，货邮吞吐量600万吨；2030年航空旅客量3.62亿人次，货邮吞吐量880万吨。</w:t>
      </w:r>
    </w:p>
    <w:p>
      <w:pPr>
        <w:adjustRightInd w:val="0"/>
        <w:snapToGrid w:val="0"/>
        <w:spacing w:line="400" w:lineRule="exact"/>
        <w:ind w:firstLine="440" w:firstLineChars="200"/>
        <w:rPr>
          <w:rFonts w:ascii="宋体" w:hAnsi="宋体"/>
          <w:sz w:val="22"/>
          <w:szCs w:val="21"/>
        </w:rPr>
      </w:pPr>
      <w:r>
        <w:rPr>
          <w:rFonts w:hint="eastAsia" w:ascii="宋体" w:hAnsi="宋体"/>
          <w:sz w:val="22"/>
          <w:szCs w:val="21"/>
        </w:rPr>
        <w:t>杭州萧山国际机场作为华东和长三角地区第三大机场，在航空业快速发展的今天，其航空客货运业务量、航线网络在区域内的市场份额都得到了显著的提高，机场对空港区域经济以及城市综合实力的提升起到了巨大贡献。</w:t>
      </w:r>
      <w:r>
        <w:rPr>
          <w:rFonts w:ascii="宋体" w:hAnsi="宋体"/>
          <w:sz w:val="22"/>
          <w:szCs w:val="21"/>
        </w:rPr>
        <w:t>201</w:t>
      </w:r>
      <w:r>
        <w:rPr>
          <w:rFonts w:hint="eastAsia" w:ascii="宋体" w:hAnsi="宋体"/>
          <w:sz w:val="22"/>
          <w:szCs w:val="21"/>
        </w:rPr>
        <w:t>8</w:t>
      </w:r>
      <w:r>
        <w:rPr>
          <w:rFonts w:ascii="宋体" w:hAnsi="宋体"/>
          <w:sz w:val="22"/>
          <w:szCs w:val="21"/>
        </w:rPr>
        <w:t>年，货邮运输</w:t>
      </w:r>
      <w:r>
        <w:rPr>
          <w:rFonts w:hint="eastAsia" w:ascii="宋体" w:hAnsi="宋体"/>
          <w:sz w:val="22"/>
          <w:szCs w:val="21"/>
        </w:rPr>
        <w:t>64</w:t>
      </w:r>
      <w:r>
        <w:rPr>
          <w:rFonts w:ascii="宋体" w:hAnsi="宋体"/>
          <w:sz w:val="22"/>
          <w:szCs w:val="21"/>
        </w:rPr>
        <w:t>万吨，货运量位居第6位，在全国机场体系中具有突出的上升潜力。</w:t>
      </w:r>
      <w:r>
        <w:rPr>
          <w:rFonts w:hint="eastAsia" w:ascii="宋体" w:hAnsi="宋体"/>
          <w:sz w:val="22"/>
          <w:szCs w:val="21"/>
        </w:rPr>
        <w:t>截至2018年，国航、南航、东航、厦航、海航等国内大型航空公司逐步加大本场运力投入，长龙以杭州为总部基地逐步扩大客货运业务，顺丰、圆通和首都航都在积极建立其在杭州的运营基地服务长三角乃至全国的航线网络。</w:t>
      </w:r>
    </w:p>
    <w:p>
      <w:pPr>
        <w:adjustRightInd w:val="0"/>
        <w:snapToGrid w:val="0"/>
        <w:spacing w:line="400" w:lineRule="exact"/>
        <w:ind w:firstLine="440" w:firstLineChars="200"/>
        <w:rPr>
          <w:rFonts w:ascii="宋体" w:hAnsi="宋体"/>
          <w:sz w:val="22"/>
          <w:szCs w:val="21"/>
        </w:rPr>
      </w:pPr>
      <w:r>
        <w:rPr>
          <w:rFonts w:hint="eastAsia" w:ascii="宋体" w:hAnsi="宋体"/>
          <w:sz w:val="22"/>
          <w:szCs w:val="21"/>
        </w:rPr>
        <w:t>2015年国务院正式批准了中国（杭州）跨境电子商务综合试验区的发展战略，省市政府提出了加强杭州航空口岸建设，目标建设大空港物流园区，打通机场与空港跨境园区的物流通道，实现一体化发展”等发展机场的全省重点工作任务要求特别是。2016年G20峰会召开以后，杭州市提出全面提升城市国际化水平、争做亚太地区重要国际门户枢纽目标，省市政府对机场发展提出了新要求。为满足新的发展要求，杭州机场正在开展30平方公里总体规划方案研究。</w:t>
      </w:r>
    </w:p>
    <w:p>
      <w:pPr>
        <w:adjustRightInd w:val="0"/>
        <w:snapToGrid w:val="0"/>
        <w:spacing w:line="400" w:lineRule="exact"/>
        <w:ind w:firstLine="440" w:firstLineChars="200"/>
        <w:rPr>
          <w:rFonts w:ascii="宋体" w:hAnsi="宋体"/>
          <w:sz w:val="22"/>
          <w:szCs w:val="21"/>
        </w:rPr>
      </w:pPr>
      <w:r>
        <w:rPr>
          <w:rFonts w:hint="eastAsia" w:ascii="宋体" w:hAnsi="宋体"/>
          <w:sz w:val="22"/>
          <w:szCs w:val="21"/>
        </w:rPr>
        <w:t>萧山机场三期扩建工程的去年已全面开工。其中，T4航站楼建筑面积69万平方米，位于T3航站楼西侧，是现有T1、T2、T3航站楼建筑面积总和的1.9倍。T4航站楼建成后，整个萧山机场航站楼形如“杭”字首字母“H”，到2030年，机场将能够满足旅客吞吐量9000万人次的要求。机场三期扩建项目投运后，进出港航班数量、国内与国际航线数量将进一步增加，萧山机场将成为长三角地区重要的门户型航空枢纽，成为华东地区仅次于浦东机场的第二大航空枢纽，从而为百姓出行提供更高质量的服务。</w:t>
      </w:r>
    </w:p>
    <w:p>
      <w:pPr>
        <w:adjustRightInd w:val="0"/>
        <w:snapToGrid w:val="0"/>
        <w:spacing w:line="400" w:lineRule="exact"/>
        <w:ind w:firstLine="442" w:firstLineChars="200"/>
        <w:rPr>
          <w:rFonts w:ascii="宋体" w:hAnsi="宋体"/>
          <w:b/>
          <w:sz w:val="22"/>
          <w:szCs w:val="21"/>
        </w:rPr>
      </w:pPr>
      <w:bookmarkStart w:id="114" w:name="_Toc472337584"/>
      <w:r>
        <w:rPr>
          <w:rFonts w:hint="eastAsia" w:ascii="宋体" w:hAnsi="宋体"/>
          <w:b/>
          <w:bCs/>
          <w:kern w:val="44"/>
          <w:sz w:val="22"/>
          <w:szCs w:val="21"/>
        </w:rPr>
        <w:t>2</w:t>
      </w:r>
      <w:bookmarkEnd w:id="114"/>
      <w:r>
        <w:rPr>
          <w:rFonts w:hint="eastAsia" w:ascii="宋体" w:hAnsi="宋体"/>
          <w:b/>
          <w:bCs/>
          <w:kern w:val="44"/>
          <w:sz w:val="22"/>
          <w:szCs w:val="21"/>
        </w:rPr>
        <w:t>.</w:t>
      </w:r>
      <w:r>
        <w:rPr>
          <w:rFonts w:hint="eastAsia" w:ascii="宋体" w:hAnsi="宋体"/>
          <w:b/>
          <w:sz w:val="22"/>
          <w:szCs w:val="21"/>
        </w:rPr>
        <w:t>航空货运设施现状</w:t>
      </w:r>
    </w:p>
    <w:p>
      <w:pPr>
        <w:widowControl/>
        <w:spacing w:line="400" w:lineRule="exact"/>
        <w:ind w:firstLine="440" w:firstLineChars="200"/>
        <w:jc w:val="left"/>
        <w:rPr>
          <w:rFonts w:ascii="宋体" w:hAnsi="宋体"/>
          <w:kern w:val="0"/>
          <w:sz w:val="22"/>
          <w:szCs w:val="21"/>
          <w:lang w:bidi="en-US"/>
        </w:rPr>
      </w:pPr>
      <w:r>
        <w:rPr>
          <w:rFonts w:hint="eastAsia" w:ascii="宋体" w:hAnsi="宋体"/>
          <w:kern w:val="0"/>
          <w:sz w:val="22"/>
          <w:szCs w:val="21"/>
          <w:lang w:bidi="en-US"/>
        </w:rPr>
        <w:t>杭州机场内现有货运设施包括机场国际货站、机场国内货站、FedEx转运中心、顺丰速运转运中心、顺丰速运中国航空快件运输枢纽基地（简称“顺丰快件枢纽基地”）、国航国际货站、国航国内货站；另外厦航货站目前处于准备施工阶段，具体如下：</w:t>
      </w:r>
    </w:p>
    <w:p>
      <w:pPr>
        <w:widowControl/>
        <w:spacing w:line="400" w:lineRule="exact"/>
        <w:ind w:firstLine="420"/>
        <w:jc w:val="left"/>
        <w:rPr>
          <w:rFonts w:ascii="宋体" w:hAnsi="宋体"/>
          <w:kern w:val="0"/>
          <w:sz w:val="22"/>
          <w:szCs w:val="21"/>
          <w:lang w:bidi="en-US"/>
        </w:rPr>
      </w:pPr>
      <w:r>
        <w:rPr>
          <w:rFonts w:hint="eastAsia" w:ascii="宋体" w:hAnsi="宋体"/>
          <w:kern w:val="0"/>
          <w:sz w:val="22"/>
          <w:szCs w:val="21"/>
          <w:lang w:bidi="en-US"/>
        </w:rPr>
        <w:t>机场国际货站、机场国内货站位于机场工作区中部，南邻飞行区，北接</w:t>
      </w:r>
      <w:r>
        <w:rPr>
          <w:rFonts w:ascii="宋体" w:hAnsi="宋体"/>
          <w:kern w:val="0"/>
          <w:sz w:val="22"/>
          <w:szCs w:val="21"/>
          <w:lang w:bidi="en-US"/>
        </w:rPr>
        <w:t>5</w:t>
      </w:r>
      <w:r>
        <w:rPr>
          <w:rFonts w:hint="eastAsia" w:ascii="宋体" w:hAnsi="宋体"/>
          <w:kern w:val="0"/>
          <w:sz w:val="22"/>
          <w:szCs w:val="21"/>
          <w:lang w:bidi="en-US"/>
        </w:rPr>
        <w:t>号路，西侧为FedEx转运中心，东侧为救援中心和消防站。机场国际货运站库房面积为</w:t>
      </w:r>
      <w:r>
        <w:rPr>
          <w:rFonts w:ascii="宋体" w:hAnsi="宋体"/>
          <w:kern w:val="0"/>
          <w:sz w:val="22"/>
          <w:szCs w:val="21"/>
          <w:lang w:bidi="en-US"/>
        </w:rPr>
        <w:t>13024</w:t>
      </w:r>
      <w:r>
        <w:rPr>
          <w:rFonts w:hint="eastAsia" w:ascii="宋体" w:hAnsi="宋体"/>
          <w:kern w:val="0"/>
          <w:sz w:val="22"/>
          <w:szCs w:val="21"/>
          <w:lang w:bidi="en-US"/>
        </w:rPr>
        <w:t>㎡；机场国内货站原库房面积约为</w:t>
      </w:r>
      <w:r>
        <w:rPr>
          <w:rFonts w:ascii="宋体" w:hAnsi="宋体"/>
          <w:kern w:val="0"/>
          <w:sz w:val="22"/>
          <w:szCs w:val="21"/>
          <w:lang w:bidi="en-US"/>
        </w:rPr>
        <w:t>9456</w:t>
      </w:r>
      <w:r>
        <w:rPr>
          <w:rFonts w:hint="eastAsia" w:ascii="宋体" w:hAnsi="宋体"/>
          <w:kern w:val="0"/>
          <w:sz w:val="22"/>
          <w:szCs w:val="21"/>
          <w:lang w:bidi="en-US"/>
        </w:rPr>
        <w:t>㎡，东扩项目建设面积为7654㎡，目前机场国内货站总建筑面积17110㎡。</w:t>
      </w:r>
    </w:p>
    <w:p>
      <w:pPr>
        <w:widowControl/>
        <w:spacing w:line="400" w:lineRule="exact"/>
        <w:ind w:firstLine="440" w:firstLineChars="200"/>
        <w:jc w:val="left"/>
        <w:rPr>
          <w:rFonts w:ascii="宋体" w:hAnsi="宋体"/>
          <w:kern w:val="0"/>
          <w:sz w:val="22"/>
          <w:szCs w:val="21"/>
          <w:lang w:bidi="en-US"/>
        </w:rPr>
      </w:pPr>
      <w:r>
        <w:rPr>
          <w:rFonts w:hint="eastAsia" w:ascii="宋体" w:hAnsi="宋体"/>
          <w:kern w:val="0"/>
          <w:sz w:val="22"/>
          <w:szCs w:val="21"/>
          <w:lang w:bidi="en-US"/>
        </w:rPr>
        <w:t>机场国际快件中心位于机场国际货站的西侧，专为国内限时业务提供支持。该转运中心总建筑面积约</w:t>
      </w:r>
      <w:r>
        <w:rPr>
          <w:rFonts w:ascii="宋体" w:hAnsi="宋体"/>
          <w:kern w:val="0"/>
          <w:sz w:val="22"/>
          <w:szCs w:val="21"/>
          <w:lang w:bidi="en-US"/>
        </w:rPr>
        <w:t>9300</w:t>
      </w:r>
      <w:r>
        <w:rPr>
          <w:rFonts w:hint="eastAsia" w:ascii="宋体" w:hAnsi="宋体"/>
          <w:kern w:val="0"/>
          <w:sz w:val="22"/>
          <w:szCs w:val="21"/>
          <w:lang w:bidi="en-US"/>
        </w:rPr>
        <w:t>㎡。</w:t>
      </w:r>
    </w:p>
    <w:p>
      <w:pPr>
        <w:widowControl/>
        <w:spacing w:line="400" w:lineRule="exact"/>
        <w:ind w:firstLine="440" w:firstLineChars="200"/>
        <w:jc w:val="left"/>
        <w:rPr>
          <w:rFonts w:ascii="宋体" w:hAnsi="宋体"/>
          <w:kern w:val="0"/>
          <w:sz w:val="22"/>
          <w:szCs w:val="21"/>
          <w:lang w:bidi="en-US"/>
        </w:rPr>
      </w:pPr>
      <w:r>
        <w:rPr>
          <w:rFonts w:hint="eastAsia" w:ascii="宋体" w:hAnsi="宋体"/>
          <w:kern w:val="0"/>
          <w:sz w:val="22"/>
          <w:szCs w:val="21"/>
          <w:lang w:bidi="en-US"/>
        </w:rPr>
        <w:t>国航货站位于机场东区国航基地。建筑面积约</w:t>
      </w:r>
      <w:r>
        <w:rPr>
          <w:rFonts w:ascii="宋体" w:hAnsi="宋体"/>
          <w:kern w:val="0"/>
          <w:sz w:val="22"/>
          <w:szCs w:val="21"/>
          <w:lang w:bidi="en-US"/>
        </w:rPr>
        <w:t>14000</w:t>
      </w:r>
      <w:r>
        <w:rPr>
          <w:rFonts w:hint="eastAsia" w:ascii="宋体" w:hAnsi="宋体"/>
          <w:kern w:val="0"/>
          <w:sz w:val="22"/>
          <w:szCs w:val="21"/>
          <w:lang w:bidi="en-US"/>
        </w:rPr>
        <w:t>㎡，包括国内货站约</w:t>
      </w:r>
      <w:r>
        <w:rPr>
          <w:rFonts w:ascii="宋体" w:hAnsi="宋体"/>
          <w:kern w:val="0"/>
          <w:sz w:val="22"/>
          <w:szCs w:val="21"/>
          <w:lang w:bidi="en-US"/>
        </w:rPr>
        <w:t>8500</w:t>
      </w:r>
      <w:r>
        <w:rPr>
          <w:rFonts w:hint="eastAsia" w:ascii="宋体" w:hAnsi="宋体"/>
          <w:kern w:val="0"/>
          <w:sz w:val="22"/>
          <w:szCs w:val="21"/>
          <w:lang w:bidi="en-US"/>
        </w:rPr>
        <w:t>㎡，国际货站约</w:t>
      </w:r>
      <w:r>
        <w:rPr>
          <w:rFonts w:ascii="宋体" w:hAnsi="宋体"/>
          <w:kern w:val="0"/>
          <w:sz w:val="22"/>
          <w:szCs w:val="21"/>
          <w:lang w:bidi="en-US"/>
        </w:rPr>
        <w:t>5500</w:t>
      </w:r>
      <w:r>
        <w:rPr>
          <w:rFonts w:hint="eastAsia" w:ascii="宋体" w:hAnsi="宋体"/>
          <w:kern w:val="0"/>
          <w:sz w:val="22"/>
          <w:szCs w:val="21"/>
          <w:lang w:bidi="en-US"/>
        </w:rPr>
        <w:t>㎡。</w:t>
      </w:r>
    </w:p>
    <w:p>
      <w:pPr>
        <w:widowControl/>
        <w:spacing w:line="400" w:lineRule="exact"/>
        <w:ind w:firstLine="440" w:firstLineChars="200"/>
        <w:jc w:val="left"/>
        <w:rPr>
          <w:rFonts w:ascii="宋体" w:hAnsi="宋体"/>
          <w:kern w:val="0"/>
          <w:sz w:val="22"/>
          <w:szCs w:val="21"/>
          <w:lang w:bidi="en-US"/>
        </w:rPr>
      </w:pPr>
      <w:r>
        <w:rPr>
          <w:rFonts w:hint="eastAsia" w:ascii="宋体" w:hAnsi="宋体"/>
          <w:kern w:val="0"/>
          <w:sz w:val="22"/>
          <w:szCs w:val="21"/>
          <w:lang w:bidi="en-US"/>
        </w:rPr>
        <w:t>顺丰转运中心，位于机场货运区西侧，油库区东侧，20</w:t>
      </w:r>
      <w:r>
        <w:rPr>
          <w:rFonts w:ascii="宋体" w:hAnsi="宋体"/>
          <w:kern w:val="0"/>
          <w:sz w:val="22"/>
          <w:szCs w:val="21"/>
          <w:lang w:bidi="en-US"/>
        </w:rPr>
        <w:t>07</w:t>
      </w:r>
      <w:r>
        <w:rPr>
          <w:rFonts w:hint="eastAsia" w:ascii="宋体" w:hAnsi="宋体"/>
          <w:kern w:val="0"/>
          <w:sz w:val="22"/>
          <w:szCs w:val="21"/>
          <w:lang w:bidi="en-US"/>
        </w:rPr>
        <w:t>年</w:t>
      </w:r>
      <w:r>
        <w:rPr>
          <w:rFonts w:ascii="宋体" w:hAnsi="宋体"/>
          <w:kern w:val="0"/>
          <w:sz w:val="22"/>
          <w:szCs w:val="21"/>
          <w:lang w:bidi="en-US"/>
        </w:rPr>
        <w:t>5</w:t>
      </w:r>
      <w:r>
        <w:rPr>
          <w:rFonts w:hint="eastAsia" w:ascii="宋体" w:hAnsi="宋体"/>
          <w:kern w:val="0"/>
          <w:sz w:val="22"/>
          <w:szCs w:val="21"/>
          <w:lang w:bidi="en-US"/>
        </w:rPr>
        <w:t>月投入运营，场地面积</w:t>
      </w:r>
      <w:r>
        <w:rPr>
          <w:rFonts w:ascii="宋体" w:hAnsi="宋体"/>
          <w:kern w:val="0"/>
          <w:sz w:val="22"/>
          <w:szCs w:val="21"/>
          <w:lang w:bidi="en-US"/>
        </w:rPr>
        <w:t>10890</w:t>
      </w:r>
      <w:r>
        <w:rPr>
          <w:rFonts w:hint="eastAsia" w:ascii="宋体" w:hAnsi="宋体"/>
          <w:kern w:val="0"/>
          <w:sz w:val="22"/>
          <w:szCs w:val="21"/>
          <w:lang w:bidi="en-US"/>
        </w:rPr>
        <w:t>㎡，建筑主要用途为做航空快件分拣、进出港操作、华东大区内快件分拣、行政办公使用。顺丰全国航空快件运输枢纽基地，位于机场现有南北垂直联络滑行道的东侧，</w:t>
      </w:r>
      <w:r>
        <w:rPr>
          <w:rFonts w:ascii="宋体" w:hAnsi="宋体"/>
          <w:kern w:val="0"/>
          <w:sz w:val="22"/>
          <w:szCs w:val="21"/>
          <w:lang w:bidi="en-US"/>
        </w:rPr>
        <w:t>2015</w:t>
      </w:r>
      <w:r>
        <w:rPr>
          <w:rFonts w:hint="eastAsia" w:ascii="宋体" w:hAnsi="宋体"/>
          <w:kern w:val="0"/>
          <w:sz w:val="22"/>
          <w:szCs w:val="21"/>
          <w:lang w:bidi="en-US"/>
        </w:rPr>
        <w:t>年</w:t>
      </w:r>
      <w:r>
        <w:rPr>
          <w:rFonts w:ascii="宋体" w:hAnsi="宋体"/>
          <w:kern w:val="0"/>
          <w:sz w:val="22"/>
          <w:szCs w:val="21"/>
          <w:lang w:bidi="en-US"/>
        </w:rPr>
        <w:t>7</w:t>
      </w:r>
      <w:r>
        <w:rPr>
          <w:rFonts w:hint="eastAsia" w:ascii="宋体" w:hAnsi="宋体"/>
          <w:kern w:val="0"/>
          <w:sz w:val="22"/>
          <w:szCs w:val="21"/>
          <w:lang w:bidi="en-US"/>
        </w:rPr>
        <w:t>月投入使用，库区工程总建筑面积</w:t>
      </w:r>
      <w:r>
        <w:rPr>
          <w:rFonts w:ascii="宋体" w:hAnsi="宋体"/>
          <w:kern w:val="0"/>
          <w:sz w:val="22"/>
          <w:szCs w:val="21"/>
          <w:lang w:bidi="en-US"/>
        </w:rPr>
        <w:t>87823</w:t>
      </w:r>
      <w:r>
        <w:rPr>
          <w:rFonts w:hint="eastAsia" w:ascii="宋体" w:hAnsi="宋体"/>
          <w:kern w:val="0"/>
          <w:sz w:val="22"/>
          <w:szCs w:val="21"/>
          <w:lang w:bidi="en-US"/>
        </w:rPr>
        <w:t>㎡，包括：分拣中心</w:t>
      </w:r>
      <w:r>
        <w:rPr>
          <w:rFonts w:ascii="宋体" w:hAnsi="宋体"/>
          <w:kern w:val="0"/>
          <w:sz w:val="22"/>
          <w:szCs w:val="21"/>
          <w:lang w:bidi="en-US"/>
        </w:rPr>
        <w:t>68608</w:t>
      </w:r>
      <w:r>
        <w:rPr>
          <w:rFonts w:hint="eastAsia" w:ascii="宋体" w:hAnsi="宋体"/>
          <w:kern w:val="0"/>
          <w:sz w:val="22"/>
          <w:szCs w:val="21"/>
          <w:lang w:bidi="en-US"/>
        </w:rPr>
        <w:t>㎡、办公楼、生活楼等附属设施</w:t>
      </w:r>
      <w:r>
        <w:rPr>
          <w:rFonts w:ascii="宋体" w:hAnsi="宋体"/>
          <w:kern w:val="0"/>
          <w:sz w:val="22"/>
          <w:szCs w:val="21"/>
          <w:lang w:bidi="en-US"/>
        </w:rPr>
        <w:t>19215</w:t>
      </w:r>
      <w:r>
        <w:rPr>
          <w:rFonts w:hint="eastAsia" w:ascii="宋体" w:hAnsi="宋体"/>
          <w:kern w:val="0"/>
          <w:sz w:val="22"/>
          <w:szCs w:val="21"/>
          <w:lang w:bidi="en-US"/>
        </w:rPr>
        <w:t>㎡（办公楼</w:t>
      </w:r>
      <w:r>
        <w:rPr>
          <w:rFonts w:ascii="宋体" w:hAnsi="宋体"/>
          <w:kern w:val="0"/>
          <w:sz w:val="22"/>
          <w:szCs w:val="21"/>
          <w:lang w:bidi="en-US"/>
        </w:rPr>
        <w:t>8825</w:t>
      </w:r>
      <w:r>
        <w:rPr>
          <w:rFonts w:hint="eastAsia" w:ascii="宋体" w:hAnsi="宋体"/>
          <w:kern w:val="0"/>
          <w:sz w:val="22"/>
          <w:szCs w:val="21"/>
          <w:lang w:bidi="en-US"/>
        </w:rPr>
        <w:t>㎡、生活楼</w:t>
      </w:r>
      <w:r>
        <w:rPr>
          <w:rFonts w:ascii="宋体" w:hAnsi="宋体"/>
          <w:kern w:val="0"/>
          <w:sz w:val="22"/>
          <w:szCs w:val="21"/>
          <w:lang w:bidi="en-US"/>
        </w:rPr>
        <w:t>4163</w:t>
      </w:r>
      <w:r>
        <w:rPr>
          <w:rFonts w:hint="eastAsia" w:ascii="宋体" w:hAnsi="宋体"/>
          <w:kern w:val="0"/>
          <w:sz w:val="22"/>
          <w:szCs w:val="21"/>
          <w:lang w:bidi="en-US"/>
        </w:rPr>
        <w:t>㎡、维修仓库</w:t>
      </w:r>
      <w:r>
        <w:rPr>
          <w:rFonts w:ascii="宋体" w:hAnsi="宋体"/>
          <w:kern w:val="0"/>
          <w:sz w:val="22"/>
          <w:szCs w:val="21"/>
          <w:lang w:bidi="en-US"/>
        </w:rPr>
        <w:t>2535</w:t>
      </w:r>
      <w:r>
        <w:rPr>
          <w:rFonts w:hint="eastAsia" w:ascii="宋体" w:hAnsi="宋体"/>
          <w:kern w:val="0"/>
          <w:sz w:val="22"/>
          <w:szCs w:val="21"/>
          <w:lang w:bidi="en-US"/>
        </w:rPr>
        <w:t>㎡、航材库</w:t>
      </w:r>
      <w:r>
        <w:rPr>
          <w:rFonts w:ascii="宋体" w:hAnsi="宋体"/>
          <w:kern w:val="0"/>
          <w:sz w:val="22"/>
          <w:szCs w:val="21"/>
          <w:lang w:bidi="en-US"/>
        </w:rPr>
        <w:t>3493</w:t>
      </w:r>
      <w:r>
        <w:rPr>
          <w:rFonts w:hint="eastAsia" w:ascii="宋体" w:hAnsi="宋体"/>
          <w:kern w:val="0"/>
          <w:sz w:val="22"/>
          <w:szCs w:val="21"/>
          <w:lang w:bidi="en-US"/>
        </w:rPr>
        <w:t>㎡等）及</w:t>
      </w:r>
      <w:r>
        <w:rPr>
          <w:rFonts w:ascii="宋体" w:hAnsi="宋体"/>
          <w:kern w:val="0"/>
          <w:sz w:val="22"/>
          <w:szCs w:val="21"/>
          <w:lang w:bidi="en-US"/>
        </w:rPr>
        <w:t>18</w:t>
      </w:r>
      <w:r>
        <w:rPr>
          <w:rFonts w:hint="eastAsia" w:ascii="宋体" w:hAnsi="宋体"/>
          <w:kern w:val="0"/>
          <w:sz w:val="22"/>
          <w:szCs w:val="21"/>
          <w:lang w:bidi="en-US"/>
        </w:rPr>
        <w:t>个配套停机位。</w:t>
      </w:r>
    </w:p>
    <w:p>
      <w:pPr>
        <w:widowControl/>
        <w:spacing w:line="400" w:lineRule="exact"/>
        <w:ind w:firstLine="440" w:firstLineChars="200"/>
        <w:jc w:val="left"/>
        <w:rPr>
          <w:rFonts w:ascii="宋体" w:hAnsi="宋体"/>
          <w:kern w:val="0"/>
          <w:sz w:val="22"/>
          <w:szCs w:val="21"/>
          <w:lang w:bidi="en-US"/>
        </w:rPr>
      </w:pPr>
      <w:r>
        <w:rPr>
          <w:rFonts w:hint="eastAsia" w:ascii="宋体" w:hAnsi="宋体"/>
          <w:kern w:val="0"/>
          <w:sz w:val="22"/>
          <w:szCs w:val="21"/>
          <w:lang w:bidi="en-US"/>
        </w:rPr>
        <w:t>此外，在机场北侧区域建有约2万㎡医药仓储基地，为临时设施，远期航站区扩建将拆除。</w:t>
      </w:r>
    </w:p>
    <w:p>
      <w:pPr>
        <w:widowControl/>
        <w:spacing w:line="400" w:lineRule="exact"/>
        <w:ind w:firstLine="420"/>
        <w:jc w:val="left"/>
        <w:rPr>
          <w:rFonts w:ascii="宋体" w:hAnsi="宋体"/>
          <w:kern w:val="0"/>
          <w:sz w:val="22"/>
          <w:szCs w:val="21"/>
          <w:lang w:bidi="en-US"/>
        </w:rPr>
      </w:pPr>
      <w:r>
        <w:rPr>
          <w:rFonts w:hint="eastAsia" w:ascii="宋体" w:hAnsi="宋体"/>
          <w:b/>
          <w:kern w:val="0"/>
          <w:sz w:val="22"/>
          <w:szCs w:val="21"/>
          <w:lang w:bidi="en-US"/>
        </w:rPr>
        <w:t>货机坪：</w:t>
      </w:r>
      <w:r>
        <w:rPr>
          <w:rFonts w:hint="eastAsia" w:ascii="宋体" w:hAnsi="宋体"/>
          <w:kern w:val="0"/>
          <w:sz w:val="22"/>
          <w:szCs w:val="21"/>
          <w:lang w:bidi="en-US"/>
        </w:rPr>
        <w:t>机场西货运区设有全货机机位</w:t>
      </w:r>
      <w:r>
        <w:rPr>
          <w:rFonts w:ascii="宋体" w:hAnsi="宋体"/>
          <w:kern w:val="0"/>
          <w:sz w:val="22"/>
          <w:szCs w:val="21"/>
          <w:lang w:bidi="en-US"/>
        </w:rPr>
        <w:t>8</w:t>
      </w:r>
      <w:r>
        <w:rPr>
          <w:rFonts w:hint="eastAsia" w:ascii="宋体" w:hAnsi="宋体"/>
          <w:kern w:val="0"/>
          <w:sz w:val="22"/>
          <w:szCs w:val="21"/>
          <w:lang w:bidi="en-US"/>
        </w:rPr>
        <w:t>个机位（</w:t>
      </w:r>
      <w:r>
        <w:rPr>
          <w:rFonts w:ascii="宋体" w:hAnsi="宋体"/>
          <w:kern w:val="0"/>
          <w:sz w:val="22"/>
          <w:szCs w:val="21"/>
          <w:lang w:bidi="en-US"/>
        </w:rPr>
        <w:t xml:space="preserve">8C </w:t>
      </w:r>
      <w:r>
        <w:rPr>
          <w:rFonts w:hint="eastAsia" w:ascii="宋体" w:hAnsi="宋体"/>
          <w:kern w:val="0"/>
          <w:sz w:val="22"/>
          <w:szCs w:val="21"/>
          <w:lang w:bidi="en-US"/>
        </w:rPr>
        <w:t>或</w:t>
      </w:r>
      <w:r>
        <w:rPr>
          <w:rFonts w:ascii="宋体" w:hAnsi="宋体"/>
          <w:kern w:val="0"/>
          <w:sz w:val="22"/>
          <w:szCs w:val="21"/>
          <w:lang w:bidi="en-US"/>
        </w:rPr>
        <w:t>4C2E</w:t>
      </w:r>
      <w:r>
        <w:rPr>
          <w:rFonts w:hint="eastAsia" w:ascii="宋体" w:hAnsi="宋体"/>
          <w:kern w:val="0"/>
          <w:sz w:val="22"/>
          <w:szCs w:val="21"/>
          <w:lang w:bidi="en-US"/>
        </w:rPr>
        <w:t>）。顺丰枢纽北侧机坪设有26个机位（2F1E8D15C）。</w:t>
      </w:r>
    </w:p>
    <w:p>
      <w:pPr>
        <w:widowControl/>
        <w:spacing w:line="400" w:lineRule="exact"/>
        <w:ind w:firstLine="442" w:firstLineChars="200"/>
        <w:jc w:val="left"/>
        <w:rPr>
          <w:rFonts w:ascii="宋体" w:hAnsi="宋体"/>
          <w:kern w:val="0"/>
          <w:sz w:val="22"/>
          <w:szCs w:val="21"/>
          <w:lang w:bidi="en-US"/>
        </w:rPr>
      </w:pPr>
      <w:r>
        <w:rPr>
          <w:rFonts w:hint="eastAsia" w:ascii="宋体" w:hAnsi="宋体"/>
          <w:b/>
          <w:kern w:val="0"/>
          <w:sz w:val="22"/>
          <w:szCs w:val="21"/>
          <w:lang w:bidi="en-US"/>
        </w:rPr>
        <w:t>空侧隧道现状：</w:t>
      </w:r>
      <w:r>
        <w:rPr>
          <w:rFonts w:hint="eastAsia" w:ascii="宋体" w:hAnsi="宋体"/>
          <w:kern w:val="0"/>
          <w:sz w:val="22"/>
          <w:szCs w:val="21"/>
          <w:lang w:bidi="en-US"/>
        </w:rPr>
        <w:t>机场空侧有建成一条内场隧道，双向两车道。为保障飞行区运行效率，现有顺丰速运中国航空快件运输枢纽基地及国航的腹仓载货拖车不允许通过地面接驳，只能通过隧道拖运，现有内场隧道已接近饱和。</w:t>
      </w:r>
    </w:p>
    <w:p>
      <w:pPr>
        <w:widowControl/>
        <w:spacing w:line="400" w:lineRule="exact"/>
        <w:ind w:firstLine="420" w:firstLineChars="200"/>
        <w:jc w:val="left"/>
        <w:rPr>
          <w:rFonts w:ascii="宋体" w:hAnsi="宋体"/>
          <w:kern w:val="0"/>
          <w:szCs w:val="21"/>
          <w:lang w:bidi="en-US"/>
        </w:rPr>
      </w:pPr>
    </w:p>
    <w:p>
      <w:pPr>
        <w:jc w:val="center"/>
        <w:rPr>
          <w:smallCaps/>
          <w:color w:val="C0504D"/>
          <w:u w:val="single"/>
        </w:rPr>
      </w:pPr>
      <w:r>
        <w:rPr>
          <w:smallCaps/>
          <w:color w:val="C0504D"/>
          <w:u w:val="single"/>
        </w:rPr>
        <w:drawing>
          <wp:inline distT="0" distB="0" distL="0" distR="0">
            <wp:extent cx="5348605" cy="2576195"/>
            <wp:effectExtent l="0" t="0" r="4445" b="146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348605" cy="2576195"/>
                    </a:xfrm>
                    <a:prstGeom prst="rect">
                      <a:avLst/>
                    </a:prstGeom>
                    <a:noFill/>
                    <a:ln>
                      <a:noFill/>
                    </a:ln>
                  </pic:spPr>
                </pic:pic>
              </a:graphicData>
            </a:graphic>
          </wp:inline>
        </w:drawing>
      </w:r>
    </w:p>
    <w:p>
      <w:pPr>
        <w:adjustRightInd w:val="0"/>
        <w:snapToGrid w:val="0"/>
        <w:spacing w:line="400" w:lineRule="exact"/>
        <w:ind w:firstLine="422" w:firstLineChars="200"/>
        <w:jc w:val="center"/>
        <w:rPr>
          <w:rFonts w:ascii="宋体" w:hAnsi="宋体"/>
          <w:b/>
          <w:bCs/>
          <w:kern w:val="44"/>
          <w:szCs w:val="21"/>
        </w:rPr>
      </w:pPr>
      <w:r>
        <w:rPr>
          <w:rFonts w:hint="eastAsia" w:ascii="宋体" w:hAnsi="宋体"/>
          <w:b/>
          <w:bCs/>
          <w:kern w:val="44"/>
          <w:szCs w:val="21"/>
        </w:rPr>
        <w:t>图</w:t>
      </w:r>
      <w:r>
        <w:rPr>
          <w:rFonts w:ascii="宋体" w:hAnsi="宋体"/>
          <w:b/>
          <w:bCs/>
          <w:kern w:val="44"/>
          <w:szCs w:val="21"/>
        </w:rPr>
        <w:t>1：</w:t>
      </w:r>
      <w:r>
        <w:rPr>
          <w:rFonts w:hint="eastAsia" w:ascii="宋体" w:hAnsi="宋体"/>
          <w:b/>
          <w:bCs/>
          <w:kern w:val="44"/>
          <w:szCs w:val="21"/>
        </w:rPr>
        <w:t>机场货运设施布局图</w:t>
      </w:r>
    </w:p>
    <w:p>
      <w:pPr>
        <w:widowControl/>
        <w:spacing w:line="400" w:lineRule="exact"/>
        <w:ind w:firstLine="442" w:firstLineChars="200"/>
        <w:jc w:val="left"/>
        <w:rPr>
          <w:rFonts w:ascii="宋体" w:hAnsi="宋体"/>
          <w:b/>
          <w:kern w:val="0"/>
          <w:sz w:val="22"/>
          <w:szCs w:val="21"/>
          <w:lang w:bidi="en-US"/>
        </w:rPr>
      </w:pPr>
      <w:r>
        <w:rPr>
          <w:rFonts w:hint="eastAsia" w:ascii="宋体" w:hAnsi="宋体"/>
          <w:b/>
          <w:kern w:val="0"/>
          <w:sz w:val="22"/>
          <w:szCs w:val="21"/>
          <w:lang w:bidi="en-US"/>
        </w:rPr>
        <w:t>3.本项目规模概况</w:t>
      </w:r>
    </w:p>
    <w:p>
      <w:pPr>
        <w:widowControl/>
        <w:spacing w:line="400" w:lineRule="exact"/>
        <w:ind w:firstLine="440" w:firstLineChars="200"/>
        <w:jc w:val="left"/>
        <w:rPr>
          <w:rFonts w:ascii="宋体" w:hAnsi="宋体"/>
          <w:kern w:val="0"/>
          <w:sz w:val="22"/>
          <w:szCs w:val="21"/>
          <w:lang w:bidi="en-US"/>
        </w:rPr>
      </w:pPr>
      <w:r>
        <w:rPr>
          <w:rFonts w:hint="eastAsia" w:ascii="宋体" w:hAnsi="宋体"/>
          <w:kern w:val="0"/>
          <w:sz w:val="22"/>
          <w:szCs w:val="21"/>
          <w:lang w:bidi="en-US"/>
        </w:rPr>
        <w:t>本项目位于机场东货运区，紧邻顺丰转运中心，占地面积约12万平米。项目建设目标满足约约100万吨的国内货物处理能力。</w:t>
      </w:r>
    </w:p>
    <w:p>
      <w:pPr>
        <w:spacing w:line="400" w:lineRule="exact"/>
        <w:rPr>
          <w:rFonts w:ascii="宋体" w:hAnsi="宋体"/>
          <w:b/>
          <w:kern w:val="0"/>
          <w:szCs w:val="21"/>
          <w:lang w:bidi="en-US"/>
        </w:rPr>
      </w:pPr>
      <w:r>
        <w:rPr>
          <w:rFonts w:ascii="宋体" w:hAnsi="宋体"/>
          <w:b/>
          <w:kern w:val="0"/>
          <w:szCs w:val="21"/>
        </w:rPr>
        <w:drawing>
          <wp:anchor distT="0" distB="0" distL="114300" distR="114300" simplePos="0" relativeHeight="251661312" behindDoc="0" locked="0" layoutInCell="1" allowOverlap="1">
            <wp:simplePos x="0" y="0"/>
            <wp:positionH relativeFrom="column">
              <wp:posOffset>50800</wp:posOffset>
            </wp:positionH>
            <wp:positionV relativeFrom="paragraph">
              <wp:posOffset>0</wp:posOffset>
            </wp:positionV>
            <wp:extent cx="5270500" cy="2399665"/>
            <wp:effectExtent l="0" t="0" r="6350" b="635"/>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270500" cy="2399665"/>
                    </a:xfrm>
                    <a:prstGeom prst="rect">
                      <a:avLst/>
                    </a:prstGeom>
                  </pic:spPr>
                </pic:pic>
              </a:graphicData>
            </a:graphic>
          </wp:anchor>
        </w:drawing>
      </w:r>
    </w:p>
    <w:p>
      <w:pPr>
        <w:widowControl/>
        <w:spacing w:line="400" w:lineRule="exact"/>
        <w:ind w:firstLine="422" w:firstLineChars="200"/>
        <w:jc w:val="left"/>
        <w:rPr>
          <w:rFonts w:ascii="宋体" w:hAnsi="宋体"/>
          <w:b/>
          <w:kern w:val="0"/>
          <w:szCs w:val="21"/>
          <w:lang w:bidi="en-US"/>
        </w:rPr>
      </w:pPr>
    </w:p>
    <w:p>
      <w:pPr>
        <w:widowControl/>
        <w:spacing w:line="400" w:lineRule="exact"/>
        <w:ind w:firstLine="422" w:firstLineChars="200"/>
        <w:jc w:val="left"/>
        <w:rPr>
          <w:rFonts w:ascii="宋体" w:hAnsi="宋体"/>
          <w:b/>
          <w:kern w:val="0"/>
          <w:szCs w:val="21"/>
          <w:lang w:bidi="en-US"/>
        </w:rPr>
      </w:pPr>
    </w:p>
    <w:p>
      <w:pPr>
        <w:widowControl/>
        <w:spacing w:line="400" w:lineRule="exact"/>
        <w:ind w:firstLine="422" w:firstLineChars="200"/>
        <w:jc w:val="left"/>
        <w:rPr>
          <w:rFonts w:ascii="宋体" w:hAnsi="宋体"/>
          <w:b/>
          <w:kern w:val="0"/>
          <w:szCs w:val="21"/>
          <w:lang w:bidi="en-US"/>
        </w:rPr>
      </w:pPr>
    </w:p>
    <w:p>
      <w:pPr>
        <w:widowControl/>
        <w:spacing w:line="400" w:lineRule="exact"/>
        <w:ind w:firstLine="422" w:firstLineChars="200"/>
        <w:jc w:val="left"/>
        <w:rPr>
          <w:rFonts w:ascii="宋体" w:hAnsi="宋体"/>
          <w:b/>
          <w:kern w:val="0"/>
          <w:szCs w:val="21"/>
          <w:lang w:bidi="en-US"/>
        </w:rPr>
      </w:pPr>
    </w:p>
    <w:p>
      <w:pPr>
        <w:widowControl/>
        <w:spacing w:line="400" w:lineRule="exact"/>
        <w:ind w:firstLine="422" w:firstLineChars="200"/>
        <w:jc w:val="left"/>
        <w:rPr>
          <w:rFonts w:ascii="宋体" w:hAnsi="宋体"/>
          <w:b/>
          <w:kern w:val="0"/>
          <w:szCs w:val="21"/>
          <w:lang w:bidi="en-US"/>
        </w:rPr>
      </w:pPr>
    </w:p>
    <w:p>
      <w:pPr>
        <w:widowControl/>
        <w:spacing w:line="400" w:lineRule="exact"/>
        <w:ind w:firstLine="422" w:firstLineChars="200"/>
        <w:jc w:val="left"/>
        <w:rPr>
          <w:rFonts w:ascii="宋体" w:hAnsi="宋体"/>
          <w:b/>
          <w:kern w:val="0"/>
          <w:szCs w:val="21"/>
          <w:lang w:bidi="en-US"/>
        </w:rPr>
      </w:pPr>
    </w:p>
    <w:p>
      <w:pPr>
        <w:widowControl/>
        <w:spacing w:line="400" w:lineRule="exact"/>
        <w:ind w:firstLine="422" w:firstLineChars="200"/>
        <w:jc w:val="left"/>
        <w:rPr>
          <w:rFonts w:ascii="宋体" w:hAnsi="宋体"/>
          <w:b/>
          <w:kern w:val="0"/>
          <w:szCs w:val="21"/>
          <w:lang w:bidi="en-US"/>
        </w:rPr>
      </w:pPr>
    </w:p>
    <w:p>
      <w:pPr>
        <w:widowControl/>
        <w:spacing w:line="400" w:lineRule="exact"/>
        <w:ind w:firstLine="422" w:firstLineChars="200"/>
        <w:jc w:val="left"/>
        <w:rPr>
          <w:rFonts w:ascii="宋体" w:hAnsi="宋体"/>
          <w:b/>
          <w:kern w:val="0"/>
          <w:szCs w:val="21"/>
          <w:lang w:bidi="en-US"/>
        </w:rPr>
      </w:pPr>
    </w:p>
    <w:p>
      <w:pPr>
        <w:widowControl/>
        <w:spacing w:line="400" w:lineRule="exact"/>
        <w:ind w:firstLine="422" w:firstLineChars="200"/>
        <w:jc w:val="left"/>
        <w:rPr>
          <w:rFonts w:ascii="宋体" w:hAnsi="宋体"/>
          <w:b/>
          <w:kern w:val="0"/>
          <w:szCs w:val="21"/>
          <w:lang w:bidi="en-US"/>
        </w:rPr>
      </w:pPr>
    </w:p>
    <w:p>
      <w:pPr>
        <w:widowControl/>
        <w:spacing w:line="400" w:lineRule="exact"/>
        <w:ind w:firstLine="442" w:firstLineChars="200"/>
        <w:jc w:val="left"/>
        <w:rPr>
          <w:rFonts w:ascii="宋体" w:hAnsi="宋体"/>
          <w:b/>
          <w:kern w:val="0"/>
          <w:sz w:val="22"/>
          <w:szCs w:val="21"/>
          <w:lang w:bidi="en-US"/>
        </w:rPr>
      </w:pPr>
      <w:r>
        <w:rPr>
          <w:rFonts w:hint="eastAsia" w:ascii="宋体" w:hAnsi="宋体"/>
          <w:b/>
          <w:kern w:val="0"/>
          <w:sz w:val="22"/>
          <w:szCs w:val="21"/>
          <w:lang w:bidi="en-US"/>
        </w:rPr>
        <w:t>4.工作时间要求</w:t>
      </w:r>
    </w:p>
    <w:p>
      <w:pPr>
        <w:spacing w:line="400" w:lineRule="exact"/>
        <w:ind w:firstLine="440" w:firstLineChars="200"/>
        <w:rPr>
          <w:rFonts w:ascii="宋体" w:hAnsi="宋体"/>
          <w:sz w:val="22"/>
          <w:szCs w:val="21"/>
        </w:rPr>
      </w:pPr>
      <w:r>
        <w:rPr>
          <w:rFonts w:hint="eastAsia" w:ascii="宋体" w:hAnsi="宋体"/>
          <w:sz w:val="22"/>
          <w:szCs w:val="21"/>
        </w:rPr>
        <w:t>规划设计单位在合同正式签订后60日历天内完成可行性研究报告。</w:t>
      </w:r>
    </w:p>
    <w:p>
      <w:pPr>
        <w:widowControl/>
        <w:autoSpaceDE w:val="0"/>
        <w:autoSpaceDN w:val="0"/>
        <w:adjustRightInd w:val="0"/>
        <w:spacing w:line="360" w:lineRule="auto"/>
        <w:rPr>
          <w:rFonts w:asciiTheme="minorEastAsia" w:hAnsiTheme="minorEastAsia" w:eastAsiaTheme="minorEastAsia"/>
          <w:b/>
          <w:sz w:val="22"/>
        </w:rPr>
      </w:pPr>
    </w:p>
    <w:p>
      <w:pPr>
        <w:widowControl/>
        <w:autoSpaceDE w:val="0"/>
        <w:autoSpaceDN w:val="0"/>
        <w:adjustRightInd w:val="0"/>
        <w:spacing w:line="360" w:lineRule="auto"/>
        <w:ind w:firstLine="331" w:firstLineChars="150"/>
        <w:rPr>
          <w:rFonts w:asciiTheme="minorEastAsia" w:hAnsiTheme="minorEastAsia" w:eastAsiaTheme="minorEastAsia"/>
          <w:b/>
          <w:bCs/>
          <w:sz w:val="22"/>
        </w:rPr>
      </w:pPr>
      <w:r>
        <w:rPr>
          <w:rFonts w:hint="eastAsia" w:asciiTheme="minorEastAsia" w:hAnsiTheme="minorEastAsia" w:eastAsiaTheme="minorEastAsia"/>
          <w:b/>
          <w:sz w:val="22"/>
        </w:rPr>
        <w:t>二、</w:t>
      </w:r>
      <w:r>
        <w:rPr>
          <w:rFonts w:hint="eastAsia" w:asciiTheme="minorEastAsia" w:hAnsiTheme="minorEastAsia" w:eastAsiaTheme="minorEastAsia"/>
          <w:b/>
          <w:bCs/>
          <w:sz w:val="22"/>
        </w:rPr>
        <w:t>研究任务</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本次研究的主要任务是对规划的东区国内货站及配套附属设施建设项目进行可行性研究，可行性研究报告编制深度除应符合《民用运输机场建设工程项目可行性研究报告编制办法》等国家及民航相应标准外，尚应至少包括以下内容：</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1.机场货运业务量预测复核；</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2.评估机场货运站货物处理能力；</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3.机场东区国内货站建设必要性分析；</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4.机场东区国内货站建设方案研究，包括选址、布局、设施规模、设施构成；</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5.国内货运库工艺流程、运作模式设计；</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6.国内货运库空陆侧交通组织方案研究；</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7.东区国内货站建设外部资源分析；</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8.提出项目投资估算、建设计划及投资安排；</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9.项目经济效益评价，包括财务效益评价、风险分析等；</w:t>
      </w:r>
    </w:p>
    <w:p>
      <w:pPr>
        <w:widowControl/>
        <w:autoSpaceDE w:val="0"/>
        <w:autoSpaceDN w:val="0"/>
        <w:adjustRightInd w:val="0"/>
        <w:spacing w:line="360" w:lineRule="auto"/>
        <w:ind w:firstLine="440" w:firstLineChars="200"/>
        <w:rPr>
          <w:rFonts w:asciiTheme="minorEastAsia" w:hAnsiTheme="minorEastAsia" w:eastAsiaTheme="minorEastAsia"/>
          <w:sz w:val="22"/>
        </w:rPr>
      </w:pPr>
      <w:r>
        <w:rPr>
          <w:rFonts w:hint="eastAsia" w:asciiTheme="minorEastAsia" w:hAnsiTheme="minorEastAsia" w:eastAsiaTheme="minorEastAsia"/>
          <w:sz w:val="22"/>
        </w:rPr>
        <w:t>10. 评价结论</w:t>
      </w:r>
    </w:p>
    <w:p>
      <w:pPr>
        <w:widowControl/>
        <w:autoSpaceDE w:val="0"/>
        <w:autoSpaceDN w:val="0"/>
        <w:adjustRightInd w:val="0"/>
        <w:spacing w:line="360" w:lineRule="auto"/>
        <w:ind w:firstLine="442" w:firstLineChars="200"/>
        <w:rPr>
          <w:rFonts w:asciiTheme="minorEastAsia" w:hAnsiTheme="minorEastAsia" w:eastAsiaTheme="minorEastAsia"/>
          <w:b/>
          <w:bCs/>
          <w:sz w:val="22"/>
        </w:rPr>
      </w:pPr>
      <w:bookmarkStart w:id="115" w:name="_Toc453691309"/>
      <w:r>
        <w:rPr>
          <w:rFonts w:hint="eastAsia" w:asciiTheme="minorEastAsia" w:hAnsiTheme="minorEastAsia" w:eastAsiaTheme="minorEastAsia"/>
          <w:b/>
          <w:bCs/>
          <w:sz w:val="22"/>
        </w:rPr>
        <w:t>三、</w:t>
      </w:r>
      <w:bookmarkEnd w:id="115"/>
      <w:r>
        <w:rPr>
          <w:rFonts w:hint="eastAsia" w:asciiTheme="minorEastAsia" w:hAnsiTheme="minorEastAsia" w:eastAsiaTheme="minorEastAsia"/>
          <w:b/>
          <w:bCs/>
          <w:sz w:val="22"/>
        </w:rPr>
        <w:t>项目成果</w:t>
      </w:r>
    </w:p>
    <w:p>
      <w:pPr>
        <w:widowControl/>
        <w:autoSpaceDE w:val="0"/>
        <w:autoSpaceDN w:val="0"/>
        <w:adjustRightInd w:val="0"/>
        <w:spacing w:line="360" w:lineRule="auto"/>
        <w:ind w:firstLine="440" w:firstLineChars="200"/>
        <w:rPr>
          <w:rFonts w:asciiTheme="minorEastAsia" w:hAnsiTheme="minorEastAsia" w:eastAsiaTheme="minorEastAsia"/>
          <w:sz w:val="22"/>
        </w:rPr>
      </w:pPr>
      <w:r>
        <w:rPr>
          <w:rFonts w:hint="eastAsia" w:asciiTheme="minorEastAsia" w:hAnsiTheme="minorEastAsia" w:eastAsiaTheme="minorEastAsia"/>
          <w:sz w:val="22"/>
        </w:rPr>
        <w:t>项目成果为包括上述研究内容的研究报告。最终成果以通过项目方评审为准</w:t>
      </w:r>
      <w:r>
        <w:rPr>
          <w:rFonts w:asciiTheme="minorEastAsia" w:hAnsiTheme="minorEastAsia" w:eastAsiaTheme="minorEastAsia"/>
          <w:sz w:val="22"/>
        </w:rPr>
        <w:t>。</w:t>
      </w:r>
    </w:p>
    <w:p>
      <w:pPr>
        <w:widowControl/>
        <w:autoSpaceDE w:val="0"/>
        <w:autoSpaceDN w:val="0"/>
        <w:adjustRightInd w:val="0"/>
        <w:spacing w:line="360" w:lineRule="auto"/>
        <w:ind w:firstLine="442" w:firstLineChars="200"/>
        <w:rPr>
          <w:rFonts w:asciiTheme="minorEastAsia" w:hAnsiTheme="minorEastAsia" w:eastAsiaTheme="minorEastAsia"/>
          <w:b/>
          <w:sz w:val="22"/>
        </w:rPr>
      </w:pPr>
      <w:r>
        <w:rPr>
          <w:rFonts w:hint="eastAsia" w:asciiTheme="minorEastAsia" w:hAnsiTheme="minorEastAsia" w:eastAsiaTheme="minorEastAsia"/>
          <w:b/>
          <w:sz w:val="22"/>
        </w:rPr>
        <w:t>四、项目实施服务期及服务要求</w:t>
      </w:r>
    </w:p>
    <w:p>
      <w:pPr>
        <w:widowControl/>
        <w:autoSpaceDE w:val="0"/>
        <w:autoSpaceDN w:val="0"/>
        <w:adjustRightInd w:val="0"/>
        <w:spacing w:line="360" w:lineRule="auto"/>
        <w:ind w:firstLine="440" w:firstLineChars="200"/>
        <w:rPr>
          <w:rFonts w:asciiTheme="minorEastAsia" w:hAnsiTheme="minorEastAsia" w:eastAsiaTheme="minorEastAsia"/>
          <w:sz w:val="22"/>
        </w:rPr>
      </w:pPr>
      <w:r>
        <w:rPr>
          <w:rFonts w:hint="eastAsia" w:asciiTheme="minorEastAsia" w:hAnsiTheme="minorEastAsia" w:eastAsiaTheme="minorEastAsia"/>
          <w:sz w:val="22"/>
        </w:rPr>
        <w:t>1.会同项目方做好研究工作计划、方案；</w:t>
      </w:r>
    </w:p>
    <w:p>
      <w:pPr>
        <w:widowControl/>
        <w:autoSpaceDE w:val="0"/>
        <w:autoSpaceDN w:val="0"/>
        <w:adjustRightInd w:val="0"/>
        <w:spacing w:line="360" w:lineRule="auto"/>
        <w:ind w:firstLine="440" w:firstLineChars="200"/>
        <w:rPr>
          <w:rFonts w:asciiTheme="minorEastAsia" w:hAnsiTheme="minorEastAsia" w:eastAsiaTheme="minorEastAsia"/>
          <w:sz w:val="22"/>
        </w:rPr>
      </w:pPr>
      <w:r>
        <w:rPr>
          <w:rFonts w:hint="eastAsia" w:asciiTheme="minorEastAsia" w:hAnsiTheme="minorEastAsia" w:eastAsiaTheme="minorEastAsia"/>
          <w:sz w:val="22"/>
        </w:rPr>
        <w:t>2.深入项目单位进行调研和资料收集，提前一周提交调研计划、调研清单；</w:t>
      </w:r>
    </w:p>
    <w:p>
      <w:pPr>
        <w:widowControl/>
        <w:autoSpaceDE w:val="0"/>
        <w:autoSpaceDN w:val="0"/>
        <w:adjustRightInd w:val="0"/>
        <w:spacing w:line="360" w:lineRule="auto"/>
        <w:ind w:firstLine="440" w:firstLineChars="200"/>
        <w:rPr>
          <w:rFonts w:asciiTheme="minorEastAsia" w:hAnsiTheme="minorEastAsia" w:eastAsiaTheme="minorEastAsia"/>
          <w:sz w:val="22"/>
        </w:rPr>
      </w:pPr>
      <w:r>
        <w:rPr>
          <w:rFonts w:hint="eastAsia" w:asciiTheme="minorEastAsia" w:hAnsiTheme="minorEastAsia" w:eastAsiaTheme="minorEastAsia"/>
          <w:sz w:val="22"/>
        </w:rPr>
        <w:t>3.承担每个阶段业主单位的汇报、征求意见等程序性工作；</w:t>
      </w:r>
    </w:p>
    <w:p>
      <w:pPr>
        <w:widowControl/>
        <w:autoSpaceDE w:val="0"/>
        <w:autoSpaceDN w:val="0"/>
        <w:adjustRightInd w:val="0"/>
        <w:spacing w:line="360" w:lineRule="auto"/>
        <w:ind w:left="454"/>
        <w:rPr>
          <w:rFonts w:asciiTheme="minorEastAsia" w:hAnsiTheme="minorEastAsia" w:eastAsiaTheme="minorEastAsia"/>
          <w:sz w:val="22"/>
        </w:rPr>
      </w:pPr>
      <w:r>
        <w:rPr>
          <w:rFonts w:hint="eastAsia" w:asciiTheme="minorEastAsia" w:hAnsiTheme="minorEastAsia" w:eastAsiaTheme="minorEastAsia"/>
          <w:sz w:val="22"/>
        </w:rPr>
        <w:t>4.时间要求：合同签订后一周内启动项目，合同签订后60个日历天内提交研究初稿，安排阶段性汇报讨论，通过业主单位评审后定稿；</w:t>
      </w:r>
    </w:p>
    <w:p>
      <w:pPr>
        <w:widowControl/>
        <w:adjustRightInd w:val="0"/>
        <w:snapToGrid w:val="0"/>
        <w:spacing w:line="360" w:lineRule="auto"/>
        <w:ind w:firstLine="440" w:firstLineChars="200"/>
        <w:rPr>
          <w:rFonts w:asciiTheme="majorEastAsia" w:hAnsiTheme="majorEastAsia" w:eastAsiaTheme="majorEastAsia"/>
          <w:sz w:val="22"/>
        </w:rPr>
      </w:pPr>
      <w:r>
        <w:rPr>
          <w:rFonts w:asciiTheme="majorEastAsia" w:hAnsiTheme="majorEastAsia" w:eastAsiaTheme="majorEastAsia"/>
          <w:sz w:val="22"/>
        </w:rPr>
        <w:t>5.</w:t>
      </w:r>
      <w:r>
        <w:rPr>
          <w:rFonts w:hint="eastAsia" w:asciiTheme="majorEastAsia" w:hAnsiTheme="majorEastAsia" w:eastAsiaTheme="majorEastAsia"/>
          <w:sz w:val="22"/>
        </w:rPr>
        <w:t>项目组要求：明确负责人及团队人员，团队固定成员不少于</w:t>
      </w:r>
      <w:r>
        <w:rPr>
          <w:rFonts w:asciiTheme="majorEastAsia" w:hAnsiTheme="majorEastAsia" w:eastAsiaTheme="majorEastAsia"/>
          <w:sz w:val="22"/>
        </w:rPr>
        <w:t>4</w:t>
      </w:r>
      <w:r>
        <w:rPr>
          <w:rFonts w:hint="eastAsia" w:asciiTheme="majorEastAsia" w:hAnsiTheme="majorEastAsia" w:eastAsiaTheme="majorEastAsia"/>
          <w:sz w:val="22"/>
        </w:rPr>
        <w:t>人，应全程参与调研、方案研究等过程。</w:t>
      </w:r>
    </w:p>
    <w:p>
      <w:pPr>
        <w:widowControl/>
        <w:autoSpaceDE w:val="0"/>
        <w:autoSpaceDN w:val="0"/>
        <w:adjustRightInd w:val="0"/>
        <w:spacing w:line="360" w:lineRule="auto"/>
        <w:ind w:firstLine="442" w:firstLineChars="200"/>
        <w:rPr>
          <w:rFonts w:asciiTheme="minorEastAsia" w:hAnsiTheme="minorEastAsia" w:eastAsiaTheme="minorEastAsia"/>
          <w:b/>
          <w:bCs/>
          <w:sz w:val="22"/>
        </w:rPr>
      </w:pPr>
      <w:bookmarkStart w:id="116" w:name="_Toc453691310"/>
      <w:r>
        <w:rPr>
          <w:rFonts w:hint="eastAsia" w:asciiTheme="minorEastAsia" w:hAnsiTheme="minorEastAsia" w:eastAsiaTheme="minorEastAsia"/>
          <w:b/>
          <w:bCs/>
          <w:sz w:val="22"/>
        </w:rPr>
        <w:t>五、成果版权及使用</w:t>
      </w:r>
      <w:bookmarkEnd w:id="116"/>
    </w:p>
    <w:p>
      <w:pPr>
        <w:widowControl/>
        <w:adjustRightInd w:val="0"/>
        <w:snapToGrid w:val="0"/>
        <w:spacing w:line="360" w:lineRule="auto"/>
        <w:ind w:firstLine="440" w:firstLineChars="200"/>
        <w:rPr>
          <w:rFonts w:asciiTheme="majorEastAsia" w:hAnsiTheme="majorEastAsia" w:eastAsiaTheme="majorEastAsia"/>
          <w:sz w:val="22"/>
        </w:rPr>
      </w:pPr>
      <w:r>
        <w:rPr>
          <w:rFonts w:asciiTheme="majorEastAsia" w:hAnsiTheme="majorEastAsia" w:eastAsiaTheme="majorEastAsia"/>
          <w:sz w:val="22"/>
        </w:rPr>
        <w:t>1.</w:t>
      </w:r>
      <w:r>
        <w:rPr>
          <w:rFonts w:hint="eastAsia" w:asciiTheme="majorEastAsia" w:hAnsiTheme="majorEastAsia" w:eastAsiaTheme="majorEastAsia"/>
          <w:sz w:val="22"/>
        </w:rPr>
        <w:t>项目成果所有权、使用权以及除署名权以外的知识产权均属于杭州萧山国际机场有限公司。中标单位未经同意不得外传，否则承担由此产生的一切法律和经济责任。未经允许，任何单位和个人不得转让和使用本项目的成果。</w:t>
      </w:r>
    </w:p>
    <w:p>
      <w:pPr>
        <w:widowControl/>
        <w:autoSpaceDE w:val="0"/>
        <w:autoSpaceDN w:val="0"/>
        <w:adjustRightInd w:val="0"/>
        <w:spacing w:line="360" w:lineRule="auto"/>
        <w:ind w:firstLine="440" w:firstLineChars="200"/>
        <w:rPr>
          <w:rFonts w:ascii="方正大标宋简体"/>
          <w:sz w:val="24"/>
        </w:rPr>
      </w:pPr>
      <w:r>
        <w:rPr>
          <w:rFonts w:hint="eastAsia" w:asciiTheme="minorEastAsia" w:hAnsiTheme="minorEastAsia" w:eastAsiaTheme="minorEastAsia"/>
          <w:sz w:val="22"/>
        </w:rPr>
        <w:t>2.合同另有约定的，从其约定。</w:t>
      </w:r>
    </w:p>
    <w:p>
      <w:pPr>
        <w:widowControl/>
        <w:jc w:val="left"/>
        <w:rPr>
          <w:rFonts w:eastAsia="黑体" w:cs="Calibri"/>
          <w:b/>
          <w:bCs/>
          <w:kern w:val="0"/>
          <w:sz w:val="32"/>
          <w:szCs w:val="44"/>
        </w:rPr>
      </w:pPr>
      <w:r>
        <w:rPr>
          <w:rFonts w:eastAsia="黑体" w:cs="Calibri"/>
          <w:b/>
          <w:bCs/>
          <w:kern w:val="0"/>
          <w:sz w:val="32"/>
          <w:szCs w:val="44"/>
        </w:rPr>
        <w:br w:type="page"/>
      </w:r>
    </w:p>
    <w:p>
      <w:pPr>
        <w:pStyle w:val="2"/>
        <w:spacing w:before="0" w:after="0" w:line="360" w:lineRule="auto"/>
        <w:jc w:val="center"/>
        <w:rPr>
          <w:rFonts w:ascii="Calibri" w:hAnsi="Calibri" w:eastAsia="黑体" w:cs="Calibri"/>
          <w:kern w:val="0"/>
          <w:sz w:val="32"/>
        </w:rPr>
      </w:pPr>
      <w:bookmarkStart w:id="117" w:name="_Toc448002986"/>
      <w:r>
        <w:rPr>
          <w:rFonts w:hint="eastAsia" w:ascii="Calibri" w:hAnsi="Calibri" w:eastAsia="黑体" w:cs="Calibri"/>
          <w:kern w:val="0"/>
          <w:sz w:val="32"/>
        </w:rPr>
        <w:t xml:space="preserve">第四章  </w:t>
      </w:r>
      <w:r>
        <w:rPr>
          <w:rFonts w:ascii="Calibri" w:hAnsi="Calibri" w:eastAsia="黑体" w:cs="Calibri"/>
          <w:kern w:val="0"/>
          <w:sz w:val="32"/>
        </w:rPr>
        <w:t>合同条款</w:t>
      </w:r>
      <w:bookmarkEnd w:id="117"/>
    </w:p>
    <w:p>
      <w:pPr>
        <w:rPr>
          <w:sz w:val="24"/>
        </w:rPr>
      </w:pPr>
      <w:r>
        <w:rPr>
          <w:rFonts w:hint="eastAsia"/>
          <w:sz w:val="24"/>
        </w:rPr>
        <w:t>合同登记编号：</w:t>
      </w:r>
    </w:p>
    <w:tbl>
      <w:tblPr>
        <w:tblStyle w:val="53"/>
        <w:tblpPr w:leftFromText="180" w:rightFromText="180" w:vertAnchor="text" w:horzAnchor="page" w:tblpX="1906" w:tblpY="151"/>
        <w:tblW w:w="59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424"/>
        <w:gridCol w:w="425"/>
        <w:gridCol w:w="424"/>
        <w:gridCol w:w="425"/>
        <w:gridCol w:w="424"/>
        <w:gridCol w:w="425"/>
        <w:gridCol w:w="424"/>
        <w:gridCol w:w="424"/>
        <w:gridCol w:w="425"/>
        <w:gridCol w:w="424"/>
        <w:gridCol w:w="425"/>
        <w:gridCol w:w="424"/>
        <w:gridCol w:w="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5" w:hRule="atLeast"/>
        </w:trPr>
        <w:tc>
          <w:tcPr>
            <w:tcW w:w="424" w:type="dxa"/>
          </w:tcPr>
          <w:p>
            <w:pPr>
              <w:rPr>
                <w:sz w:val="24"/>
              </w:rPr>
            </w:pPr>
          </w:p>
        </w:tc>
        <w:tc>
          <w:tcPr>
            <w:tcW w:w="424" w:type="dxa"/>
          </w:tcPr>
          <w:p>
            <w:pPr>
              <w:rPr>
                <w:sz w:val="24"/>
              </w:rPr>
            </w:pPr>
          </w:p>
        </w:tc>
        <w:tc>
          <w:tcPr>
            <w:tcW w:w="425" w:type="dxa"/>
          </w:tcPr>
          <w:p>
            <w:pPr>
              <w:rPr>
                <w:sz w:val="24"/>
              </w:rPr>
            </w:pPr>
          </w:p>
        </w:tc>
        <w:tc>
          <w:tcPr>
            <w:tcW w:w="424" w:type="dxa"/>
          </w:tcPr>
          <w:p>
            <w:pPr>
              <w:rPr>
                <w:sz w:val="24"/>
              </w:rPr>
            </w:pPr>
          </w:p>
        </w:tc>
        <w:tc>
          <w:tcPr>
            <w:tcW w:w="425" w:type="dxa"/>
          </w:tcPr>
          <w:p>
            <w:pPr>
              <w:rPr>
                <w:sz w:val="24"/>
              </w:rPr>
            </w:pPr>
          </w:p>
        </w:tc>
        <w:tc>
          <w:tcPr>
            <w:tcW w:w="424" w:type="dxa"/>
          </w:tcPr>
          <w:p>
            <w:pPr>
              <w:rPr>
                <w:sz w:val="24"/>
              </w:rPr>
            </w:pPr>
          </w:p>
        </w:tc>
        <w:tc>
          <w:tcPr>
            <w:tcW w:w="425" w:type="dxa"/>
          </w:tcPr>
          <w:p>
            <w:pPr>
              <w:rPr>
                <w:sz w:val="24"/>
              </w:rPr>
            </w:pPr>
          </w:p>
        </w:tc>
        <w:tc>
          <w:tcPr>
            <w:tcW w:w="424" w:type="dxa"/>
          </w:tcPr>
          <w:p>
            <w:pPr>
              <w:rPr>
                <w:sz w:val="24"/>
              </w:rPr>
            </w:pPr>
          </w:p>
        </w:tc>
        <w:tc>
          <w:tcPr>
            <w:tcW w:w="424" w:type="dxa"/>
          </w:tcPr>
          <w:p>
            <w:pPr>
              <w:rPr>
                <w:sz w:val="24"/>
              </w:rPr>
            </w:pPr>
          </w:p>
        </w:tc>
        <w:tc>
          <w:tcPr>
            <w:tcW w:w="425" w:type="dxa"/>
          </w:tcPr>
          <w:p>
            <w:pPr>
              <w:rPr>
                <w:sz w:val="24"/>
              </w:rPr>
            </w:pPr>
          </w:p>
        </w:tc>
        <w:tc>
          <w:tcPr>
            <w:tcW w:w="424" w:type="dxa"/>
          </w:tcPr>
          <w:p>
            <w:pPr>
              <w:rPr>
                <w:sz w:val="24"/>
              </w:rPr>
            </w:pPr>
          </w:p>
        </w:tc>
        <w:tc>
          <w:tcPr>
            <w:tcW w:w="425" w:type="dxa"/>
          </w:tcPr>
          <w:p>
            <w:pPr>
              <w:rPr>
                <w:sz w:val="24"/>
              </w:rPr>
            </w:pPr>
          </w:p>
        </w:tc>
        <w:tc>
          <w:tcPr>
            <w:tcW w:w="424" w:type="dxa"/>
          </w:tcPr>
          <w:p>
            <w:pPr>
              <w:rPr>
                <w:sz w:val="24"/>
              </w:rPr>
            </w:pPr>
          </w:p>
        </w:tc>
        <w:tc>
          <w:tcPr>
            <w:tcW w:w="425" w:type="dxa"/>
          </w:tcPr>
          <w:p>
            <w:pPr>
              <w:rPr>
                <w:sz w:val="24"/>
              </w:rPr>
            </w:pPr>
          </w:p>
        </w:tc>
      </w:tr>
    </w:tbl>
    <w:p>
      <w:pPr>
        <w:rPr>
          <w:sz w:val="24"/>
          <w:u w:val="single"/>
        </w:rPr>
      </w:pPr>
      <w:r>
        <w:rPr>
          <w:rFonts w:hint="eastAsia"/>
          <w:sz w:val="24"/>
        </w:rPr>
        <w:t xml:space="preserve">                                              合同号：</w:t>
      </w:r>
      <w:r>
        <w:rPr>
          <w:rFonts w:hint="eastAsia"/>
          <w:sz w:val="24"/>
          <w:u w:val="single"/>
        </w:rPr>
        <w:t xml:space="preserve">           </w:t>
      </w:r>
    </w:p>
    <w:p>
      <w:pPr>
        <w:rPr>
          <w:sz w:val="24"/>
          <w:u w:val="single"/>
        </w:rPr>
      </w:pPr>
    </w:p>
    <w:p>
      <w:pPr>
        <w:rPr>
          <w:sz w:val="24"/>
          <w:u w:val="single"/>
        </w:rPr>
      </w:pPr>
    </w:p>
    <w:p>
      <w:pPr>
        <w:rPr>
          <w:sz w:val="24"/>
          <w:u w:val="single"/>
        </w:rPr>
      </w:pPr>
    </w:p>
    <w:p>
      <w:pPr>
        <w:spacing w:line="360" w:lineRule="auto"/>
        <w:jc w:val="center"/>
        <w:rPr>
          <w:b/>
          <w:bCs/>
          <w:sz w:val="24"/>
          <w:szCs w:val="24"/>
        </w:rPr>
      </w:pPr>
      <w:r>
        <w:rPr>
          <w:rFonts w:hint="eastAsia"/>
          <w:b/>
          <w:bCs/>
          <w:sz w:val="24"/>
          <w:szCs w:val="24"/>
        </w:rPr>
        <w:t xml:space="preserve"> 技  术  咨  询  合  同  书</w:t>
      </w:r>
    </w:p>
    <w:p>
      <w:pPr>
        <w:spacing w:line="360" w:lineRule="auto"/>
        <w:jc w:val="center"/>
        <w:rPr>
          <w:b/>
          <w:bCs/>
          <w:sz w:val="24"/>
          <w:szCs w:val="24"/>
        </w:rPr>
      </w:pPr>
    </w:p>
    <w:p>
      <w:pPr>
        <w:spacing w:line="360" w:lineRule="auto"/>
        <w:jc w:val="center"/>
        <w:rPr>
          <w:b/>
          <w:bCs/>
          <w:sz w:val="24"/>
          <w:szCs w:val="24"/>
        </w:rPr>
      </w:pPr>
    </w:p>
    <w:p>
      <w:pPr>
        <w:pStyle w:val="138"/>
        <w:widowControl w:val="0"/>
        <w:snapToGrid w:val="0"/>
        <w:spacing w:line="360" w:lineRule="auto"/>
        <w:ind w:firstLine="0"/>
        <w:rPr>
          <w:sz w:val="24"/>
          <w:szCs w:val="24"/>
          <w:u w:val="single"/>
        </w:rPr>
      </w:pPr>
      <w:r>
        <w:rPr>
          <w:rFonts w:hint="eastAsia"/>
          <w:bCs/>
          <w:color w:val="auto"/>
          <w:kern w:val="2"/>
          <w:sz w:val="24"/>
          <w:szCs w:val="24"/>
        </w:rPr>
        <w:t>项目名称：</w:t>
      </w:r>
      <w:r>
        <w:rPr>
          <w:rFonts w:hint="eastAsia" w:ascii="宋体" w:hAnsi="宋体"/>
          <w:b w:val="0"/>
          <w:color w:val="auto"/>
          <w:spacing w:val="6"/>
          <w:kern w:val="2"/>
          <w:sz w:val="24"/>
          <w:szCs w:val="24"/>
          <w:u w:val="single"/>
        </w:rPr>
        <w:t xml:space="preserve">      杭州萧山国际机场东区国内货站项目可行性研究报告编制   </w:t>
      </w:r>
      <w:r>
        <w:rPr>
          <w:rFonts w:hint="eastAsia"/>
          <w:sz w:val="24"/>
          <w:szCs w:val="24"/>
          <w:u w:val="single"/>
        </w:rPr>
        <w:t xml:space="preserve"> </w:t>
      </w:r>
    </w:p>
    <w:p>
      <w:pPr>
        <w:spacing w:line="360" w:lineRule="auto"/>
        <w:rPr>
          <w:sz w:val="24"/>
          <w:szCs w:val="24"/>
        </w:rPr>
      </w:pPr>
    </w:p>
    <w:p>
      <w:pPr>
        <w:spacing w:line="360" w:lineRule="auto"/>
        <w:rPr>
          <w:sz w:val="24"/>
          <w:szCs w:val="24"/>
          <w:u w:val="single"/>
        </w:rPr>
      </w:pPr>
      <w:r>
        <w:rPr>
          <w:rFonts w:hint="eastAsia"/>
          <w:b/>
          <w:bCs/>
          <w:sz w:val="24"/>
          <w:szCs w:val="24"/>
        </w:rPr>
        <w:t>委 托 方：</w:t>
      </w:r>
      <w:r>
        <w:rPr>
          <w:rFonts w:hint="eastAsia"/>
          <w:sz w:val="24"/>
          <w:szCs w:val="24"/>
          <w:u w:val="single"/>
        </w:rPr>
        <w:t xml:space="preserve">             杭州萧山国际机场有限公司                           </w:t>
      </w:r>
    </w:p>
    <w:p>
      <w:pPr>
        <w:spacing w:line="360" w:lineRule="auto"/>
        <w:rPr>
          <w:b/>
          <w:bCs/>
          <w:sz w:val="24"/>
          <w:szCs w:val="24"/>
        </w:rPr>
      </w:pPr>
      <w:r>
        <w:rPr>
          <w:rFonts w:hint="eastAsia"/>
          <w:b/>
          <w:bCs/>
          <w:sz w:val="24"/>
          <w:szCs w:val="24"/>
        </w:rPr>
        <w:t>（甲方）</w:t>
      </w:r>
    </w:p>
    <w:p>
      <w:pPr>
        <w:spacing w:line="360" w:lineRule="auto"/>
        <w:rPr>
          <w:b/>
          <w:bCs/>
          <w:sz w:val="24"/>
          <w:szCs w:val="24"/>
          <w:u w:val="single"/>
        </w:rPr>
      </w:pPr>
    </w:p>
    <w:p>
      <w:pPr>
        <w:spacing w:line="360" w:lineRule="auto"/>
        <w:rPr>
          <w:sz w:val="24"/>
          <w:szCs w:val="24"/>
          <w:u w:val="single"/>
        </w:rPr>
      </w:pPr>
      <w:r>
        <w:rPr>
          <w:rFonts w:hint="eastAsia"/>
          <w:b/>
          <w:bCs/>
          <w:sz w:val="24"/>
          <w:szCs w:val="24"/>
        </w:rPr>
        <w:t>承揽 方：</w:t>
      </w:r>
      <w:r>
        <w:rPr>
          <w:rFonts w:hint="eastAsia"/>
          <w:sz w:val="24"/>
          <w:szCs w:val="24"/>
          <w:u w:val="single"/>
        </w:rPr>
        <w:t xml:space="preserve">                                                                 </w:t>
      </w:r>
    </w:p>
    <w:p>
      <w:pPr>
        <w:spacing w:line="360" w:lineRule="auto"/>
        <w:rPr>
          <w:b/>
          <w:bCs/>
          <w:sz w:val="24"/>
          <w:szCs w:val="24"/>
        </w:rPr>
      </w:pPr>
      <w:r>
        <w:rPr>
          <w:rFonts w:hint="eastAsia"/>
          <w:b/>
          <w:bCs/>
          <w:sz w:val="24"/>
          <w:szCs w:val="24"/>
        </w:rPr>
        <w:t>（乙方）</w:t>
      </w:r>
    </w:p>
    <w:p>
      <w:pPr>
        <w:spacing w:line="360" w:lineRule="auto"/>
        <w:rPr>
          <w:b/>
          <w:bCs/>
          <w:sz w:val="24"/>
          <w:szCs w:val="24"/>
        </w:rPr>
      </w:pPr>
    </w:p>
    <w:p>
      <w:pPr>
        <w:spacing w:line="360" w:lineRule="auto"/>
        <w:rPr>
          <w:b/>
          <w:bCs/>
          <w:sz w:val="24"/>
          <w:szCs w:val="24"/>
        </w:rPr>
      </w:pPr>
    </w:p>
    <w:p>
      <w:pPr>
        <w:spacing w:line="360" w:lineRule="auto"/>
        <w:rPr>
          <w:b/>
          <w:bCs/>
          <w:sz w:val="24"/>
          <w:szCs w:val="24"/>
        </w:rPr>
      </w:pPr>
      <w:r>
        <w:rPr>
          <w:rFonts w:hint="eastAsia"/>
          <w:b/>
          <w:bCs/>
          <w:sz w:val="24"/>
          <w:szCs w:val="24"/>
        </w:rPr>
        <w:t>签订地点：                   省                   市（县）</w:t>
      </w:r>
    </w:p>
    <w:p>
      <w:pPr>
        <w:spacing w:line="360" w:lineRule="auto"/>
        <w:rPr>
          <w:b/>
          <w:bCs/>
          <w:sz w:val="24"/>
          <w:szCs w:val="24"/>
        </w:rPr>
      </w:pPr>
      <w:r>
        <w:rPr>
          <w:rFonts w:hint="eastAsia"/>
          <w:b/>
          <w:bCs/>
          <w:sz w:val="24"/>
          <w:szCs w:val="24"/>
        </w:rPr>
        <w:t>签订日期：                  年           月          日</w:t>
      </w:r>
    </w:p>
    <w:p>
      <w:pPr>
        <w:spacing w:line="360" w:lineRule="auto"/>
        <w:rPr>
          <w:b/>
          <w:bCs/>
          <w:sz w:val="24"/>
          <w:szCs w:val="24"/>
        </w:rPr>
      </w:pPr>
      <w:r>
        <w:rPr>
          <w:rFonts w:hint="eastAsia"/>
          <w:b/>
          <w:bCs/>
          <w:sz w:val="24"/>
          <w:szCs w:val="24"/>
        </w:rPr>
        <w:t>有效期限：      年    月    日至         年    月    日</w:t>
      </w:r>
    </w:p>
    <w:p>
      <w:pPr>
        <w:spacing w:line="360" w:lineRule="auto"/>
        <w:rPr>
          <w:b/>
          <w:bCs/>
          <w:sz w:val="24"/>
          <w:szCs w:val="24"/>
        </w:rPr>
      </w:pPr>
    </w:p>
    <w:p>
      <w:pPr>
        <w:spacing w:line="360" w:lineRule="auto"/>
        <w:rPr>
          <w:b/>
          <w:bCs/>
          <w:sz w:val="24"/>
          <w:szCs w:val="24"/>
        </w:rPr>
      </w:pPr>
    </w:p>
    <w:p>
      <w:pPr>
        <w:spacing w:line="360" w:lineRule="auto"/>
        <w:rPr>
          <w:b/>
          <w:bCs/>
          <w:sz w:val="24"/>
          <w:szCs w:val="24"/>
        </w:rPr>
      </w:pPr>
    </w:p>
    <w:p>
      <w:pPr>
        <w:spacing w:line="360" w:lineRule="auto"/>
        <w:rPr>
          <w:b/>
          <w:bCs/>
          <w:sz w:val="24"/>
          <w:szCs w:val="24"/>
        </w:rPr>
      </w:pPr>
    </w:p>
    <w:p>
      <w:pPr>
        <w:spacing w:line="360" w:lineRule="auto"/>
        <w:rPr>
          <w:b/>
          <w:bCs/>
          <w:sz w:val="24"/>
          <w:szCs w:val="24"/>
        </w:rPr>
      </w:pPr>
    </w:p>
    <w:p>
      <w:pPr>
        <w:spacing w:line="360" w:lineRule="auto"/>
        <w:rPr>
          <w:b/>
          <w:bCs/>
          <w:sz w:val="24"/>
          <w:szCs w:val="24"/>
        </w:rPr>
      </w:pPr>
    </w:p>
    <w:p>
      <w:pPr>
        <w:spacing w:line="360" w:lineRule="auto"/>
        <w:rPr>
          <w:b/>
          <w:bCs/>
          <w:sz w:val="24"/>
          <w:szCs w:val="24"/>
        </w:rPr>
      </w:pPr>
    </w:p>
    <w:p>
      <w:pPr>
        <w:spacing w:line="360" w:lineRule="auto"/>
        <w:rPr>
          <w:b/>
          <w:bCs/>
          <w:sz w:val="24"/>
          <w:szCs w:val="24"/>
        </w:rPr>
      </w:pPr>
    </w:p>
    <w:p>
      <w:pPr>
        <w:spacing w:line="360" w:lineRule="auto"/>
        <w:rPr>
          <w:b/>
          <w:bCs/>
          <w:sz w:val="24"/>
          <w:szCs w:val="24"/>
        </w:rPr>
      </w:pPr>
    </w:p>
    <w:p>
      <w:pPr>
        <w:spacing w:line="360" w:lineRule="auto"/>
        <w:jc w:val="center"/>
        <w:rPr>
          <w:b/>
          <w:bCs/>
          <w:sz w:val="24"/>
          <w:szCs w:val="24"/>
        </w:rPr>
      </w:pPr>
      <w:r>
        <w:rPr>
          <w:rFonts w:hint="eastAsia"/>
          <w:b/>
          <w:bCs/>
          <w:sz w:val="24"/>
          <w:szCs w:val="24"/>
        </w:rPr>
        <w:t>浙江省科学技术厅监制</w:t>
      </w:r>
    </w:p>
    <w:p>
      <w:pPr>
        <w:spacing w:line="360" w:lineRule="auto"/>
        <w:ind w:firstLine="480" w:firstLineChars="200"/>
        <w:jc w:val="left"/>
        <w:rPr>
          <w:rFonts w:ascii="宋体" w:hAnsi="宋体"/>
          <w:sz w:val="24"/>
          <w:szCs w:val="24"/>
        </w:rPr>
      </w:pPr>
    </w:p>
    <w:p>
      <w:pPr>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依据《中华人民共和国合同法》的规定，合同双方就</w:t>
      </w:r>
      <w:r>
        <w:rPr>
          <w:rFonts w:hint="eastAsia" w:asciiTheme="minorEastAsia" w:hAnsiTheme="minorEastAsia" w:eastAsiaTheme="minorEastAsia"/>
          <w:sz w:val="22"/>
          <w:u w:val="single"/>
        </w:rPr>
        <w:t xml:space="preserve"> 杭州萧山国际机场东区国内货站项目可行性研究报告编制 </w:t>
      </w:r>
      <w:r>
        <w:rPr>
          <w:rFonts w:hint="eastAsia" w:asciiTheme="minorEastAsia" w:hAnsiTheme="minorEastAsia" w:eastAsiaTheme="minorEastAsia"/>
          <w:sz w:val="22"/>
        </w:rPr>
        <w:t>的技术咨询，经协商一致，签订本合同。</w:t>
      </w:r>
    </w:p>
    <w:p>
      <w:pPr>
        <w:spacing w:line="360" w:lineRule="auto"/>
        <w:ind w:firstLine="442" w:firstLineChars="200"/>
        <w:jc w:val="left"/>
        <w:rPr>
          <w:rFonts w:asciiTheme="minorEastAsia" w:hAnsiTheme="minorEastAsia" w:eastAsiaTheme="minorEastAsia"/>
          <w:b/>
          <w:sz w:val="22"/>
        </w:rPr>
      </w:pPr>
      <w:r>
        <w:rPr>
          <w:rFonts w:hint="eastAsia" w:asciiTheme="minorEastAsia" w:hAnsiTheme="minorEastAsia" w:eastAsiaTheme="minorEastAsia"/>
          <w:b/>
          <w:sz w:val="22"/>
        </w:rPr>
        <w:t>一、研究的内容、形式和要求：</w:t>
      </w:r>
    </w:p>
    <w:p>
      <w:pPr>
        <w:spacing w:line="360" w:lineRule="auto"/>
        <w:ind w:firstLine="442" w:firstLineChars="200"/>
        <w:jc w:val="left"/>
        <w:rPr>
          <w:rFonts w:asciiTheme="minorEastAsia" w:hAnsiTheme="minorEastAsia" w:eastAsiaTheme="minorEastAsia"/>
          <w:b/>
          <w:sz w:val="22"/>
        </w:rPr>
      </w:pPr>
      <w:r>
        <w:rPr>
          <w:rFonts w:hint="eastAsia" w:asciiTheme="minorEastAsia" w:hAnsiTheme="minorEastAsia" w:eastAsiaTheme="minorEastAsia"/>
          <w:b/>
          <w:sz w:val="22"/>
        </w:rPr>
        <w:t>（一）研究内容</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本次研究的主要任务是对杭州萧山国际机场东区国内货站项目进行可行性研究，可行性研究报告编制深度除应符合《民用运输机场建设工程项目可行性研究报告编制办法》等国家及民航相应标准外，包括但不限于以下内容：</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1.机场货运业务量预测复核；</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2.评估机场货运站货物处理能力；</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3.机场东区国内货站建设必要性分析；</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4.机场东区国内货站建设方案研究，包括选址、布局、设施规模、设施构成；</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5.国内货运库工艺流程、运作模式设计；</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6.国内货运库空陆侧交通组织方案研究；</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7.东区国内货站建设外部资源分析；</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8.提出项目投资估算、建设计划及投资安排；</w:t>
      </w:r>
    </w:p>
    <w:p>
      <w:pPr>
        <w:widowControl/>
        <w:adjustRightInd w:val="0"/>
        <w:snapToGrid w:val="0"/>
        <w:spacing w:line="360" w:lineRule="auto"/>
        <w:ind w:firstLine="440" w:firstLineChars="200"/>
        <w:rPr>
          <w:rFonts w:asciiTheme="majorEastAsia" w:hAnsiTheme="majorEastAsia" w:eastAsiaTheme="majorEastAsia"/>
          <w:sz w:val="22"/>
        </w:rPr>
      </w:pPr>
      <w:r>
        <w:rPr>
          <w:rFonts w:hint="eastAsia" w:asciiTheme="majorEastAsia" w:hAnsiTheme="majorEastAsia" w:eastAsiaTheme="majorEastAsia"/>
          <w:sz w:val="22"/>
        </w:rPr>
        <w:t>9.项目经济效益评价，包括财务效益评价、风险分析等；</w:t>
      </w:r>
    </w:p>
    <w:p>
      <w:pPr>
        <w:widowControl/>
        <w:autoSpaceDE w:val="0"/>
        <w:autoSpaceDN w:val="0"/>
        <w:adjustRightInd w:val="0"/>
        <w:spacing w:line="360" w:lineRule="auto"/>
        <w:ind w:firstLine="440" w:firstLineChars="200"/>
        <w:rPr>
          <w:rFonts w:asciiTheme="minorEastAsia" w:hAnsiTheme="minorEastAsia" w:eastAsiaTheme="minorEastAsia"/>
          <w:sz w:val="22"/>
        </w:rPr>
      </w:pPr>
      <w:r>
        <w:rPr>
          <w:rFonts w:hint="eastAsia" w:asciiTheme="minorEastAsia" w:hAnsiTheme="minorEastAsia" w:eastAsiaTheme="minorEastAsia"/>
          <w:sz w:val="22"/>
        </w:rPr>
        <w:t>10.评价结论</w:t>
      </w:r>
    </w:p>
    <w:p>
      <w:pPr>
        <w:spacing w:line="360" w:lineRule="auto"/>
        <w:ind w:firstLine="442" w:firstLineChars="200"/>
        <w:jc w:val="left"/>
        <w:rPr>
          <w:rFonts w:asciiTheme="minorEastAsia" w:hAnsiTheme="minorEastAsia" w:eastAsiaTheme="minorEastAsia"/>
          <w:b/>
          <w:sz w:val="22"/>
        </w:rPr>
      </w:pPr>
      <w:r>
        <w:rPr>
          <w:rFonts w:hint="eastAsia" w:asciiTheme="minorEastAsia" w:hAnsiTheme="minorEastAsia" w:eastAsiaTheme="minorEastAsia"/>
          <w:b/>
          <w:sz w:val="22"/>
        </w:rPr>
        <w:t>（二）技术服务要求</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1、乙方制定详细的工作计划，并在【七】日内向甲方提交该工作计划，乙方按照工作配合甲方做好报告编制；</w:t>
      </w:r>
    </w:p>
    <w:p>
      <w:pPr>
        <w:autoSpaceDE w:val="0"/>
        <w:autoSpaceDN w:val="0"/>
        <w:adjustRightInd w:val="0"/>
        <w:spacing w:line="360" w:lineRule="auto"/>
        <w:ind w:firstLine="440" w:firstLineChars="200"/>
        <w:jc w:val="left"/>
        <w:rPr>
          <w:rFonts w:asciiTheme="minorEastAsia" w:hAnsiTheme="minorEastAsia" w:eastAsiaTheme="minorEastAsia"/>
          <w:bCs/>
          <w:sz w:val="22"/>
        </w:rPr>
      </w:pPr>
      <w:r>
        <w:rPr>
          <w:rFonts w:hint="eastAsia" w:asciiTheme="minorEastAsia" w:hAnsiTheme="minorEastAsia" w:eastAsiaTheme="minorEastAsia"/>
          <w:sz w:val="22"/>
        </w:rPr>
        <w:t>2、</w:t>
      </w:r>
      <w:r>
        <w:rPr>
          <w:rFonts w:hint="eastAsia" w:asciiTheme="minorEastAsia" w:hAnsiTheme="minorEastAsia" w:eastAsiaTheme="minorEastAsia"/>
          <w:bCs/>
          <w:sz w:val="22"/>
        </w:rPr>
        <w:t>乙方应为本项目提供由不少于4名专业人员组成的顾问服务团队，负责人【 】人（姓名，性别，身份证号），成员【 】人（姓名，性别，身份证号），团队负责人拥有10年以上航空货运规划设计经验，并应有以主要负责人身份操作类似项目咨询规划设计的实际经验，能全权代表报价人进行资源调配的权限；</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3、项目组成员全程参与项目调研、研究等工作，开展不少于</w:t>
      </w:r>
      <w:r>
        <w:rPr>
          <w:rFonts w:asciiTheme="minorEastAsia" w:hAnsiTheme="minorEastAsia" w:eastAsiaTheme="minorEastAsia"/>
          <w:sz w:val="22"/>
        </w:rPr>
        <w:t>3次的实地调研工作，提前提交调研清单和工作计划。根据项目方安排，承担各阶段的项目成果汇报并根据项目方要求进行方案完善</w:t>
      </w:r>
      <w:r>
        <w:rPr>
          <w:rFonts w:hint="eastAsia" w:asciiTheme="minorEastAsia" w:hAnsiTheme="minorEastAsia" w:eastAsiaTheme="minorEastAsia"/>
          <w:sz w:val="22"/>
        </w:rPr>
        <w:t>；</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4、项目成果为杭州萧山国际机场东区国内货站项目建设可行性研究报告，最终成果以通过项目方评审为准；</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5、提供技术服务的时间：合同签订后一周内启动项目；合同签订后60日历天内完成研究报告，安排阶段性汇报讨论，通过业主单位评审后定稿。</w:t>
      </w:r>
    </w:p>
    <w:p>
      <w:pPr>
        <w:spacing w:line="360" w:lineRule="auto"/>
        <w:ind w:firstLine="442" w:firstLineChars="200"/>
        <w:jc w:val="left"/>
        <w:rPr>
          <w:rFonts w:asciiTheme="minorEastAsia" w:hAnsiTheme="minorEastAsia" w:eastAsiaTheme="minorEastAsia"/>
          <w:sz w:val="22"/>
        </w:rPr>
      </w:pPr>
      <w:r>
        <w:rPr>
          <w:rFonts w:hint="eastAsia" w:asciiTheme="minorEastAsia" w:hAnsiTheme="minorEastAsia" w:eastAsiaTheme="minorEastAsia"/>
          <w:b/>
          <w:sz w:val="22"/>
        </w:rPr>
        <w:t>（三）履行期限、地点和方式</w:t>
      </w:r>
    </w:p>
    <w:p>
      <w:pPr>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本合同自2019年   月   日至     年   月   日在</w:t>
      </w:r>
      <w:r>
        <w:rPr>
          <w:rFonts w:hint="eastAsia" w:asciiTheme="minorEastAsia" w:hAnsiTheme="minorEastAsia" w:eastAsiaTheme="minorEastAsia"/>
          <w:sz w:val="22"/>
          <w:u w:val="single"/>
        </w:rPr>
        <w:t xml:space="preserve">                  </w:t>
      </w:r>
      <w:r>
        <w:rPr>
          <w:rFonts w:hint="eastAsia" w:asciiTheme="minorEastAsia" w:hAnsiTheme="minorEastAsia" w:eastAsiaTheme="minorEastAsia"/>
          <w:sz w:val="22"/>
        </w:rPr>
        <w:t xml:space="preserve"> （地点）履行。               </w:t>
      </w:r>
    </w:p>
    <w:p>
      <w:pPr>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本合同的履行方式：</w:t>
      </w:r>
    </w:p>
    <w:p>
      <w:pPr>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委托方的协作事项：</w:t>
      </w:r>
    </w:p>
    <w:p>
      <w:pPr>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在合同生效后                （时间）内，甲方应向乙方提供下列资料和工作条件：</w:t>
      </w:r>
    </w:p>
    <w:p>
      <w:pPr>
        <w:spacing w:line="360" w:lineRule="auto"/>
        <w:ind w:firstLine="440" w:firstLineChars="200"/>
        <w:jc w:val="left"/>
        <w:rPr>
          <w:rFonts w:asciiTheme="minorEastAsia" w:hAnsiTheme="minorEastAsia" w:eastAsiaTheme="minorEastAsia"/>
          <w:sz w:val="22"/>
          <w:u w:val="single"/>
        </w:rPr>
      </w:pPr>
      <w:r>
        <w:rPr>
          <w:rFonts w:hint="eastAsia" w:asciiTheme="minorEastAsia" w:hAnsiTheme="minorEastAsia" w:eastAsiaTheme="minorEastAsia"/>
          <w:sz w:val="22"/>
          <w:u w:val="single"/>
        </w:rPr>
        <w:t xml:space="preserve">                                                                              </w:t>
      </w:r>
    </w:p>
    <w:p>
      <w:pPr>
        <w:spacing w:line="360" w:lineRule="auto"/>
        <w:ind w:firstLine="440" w:firstLineChars="200"/>
        <w:jc w:val="left"/>
        <w:rPr>
          <w:rFonts w:asciiTheme="minorEastAsia" w:hAnsiTheme="minorEastAsia" w:eastAsiaTheme="minorEastAsia"/>
          <w:sz w:val="22"/>
          <w:u w:val="single"/>
        </w:rPr>
      </w:pPr>
      <w:r>
        <w:rPr>
          <w:rFonts w:hint="eastAsia" w:asciiTheme="minorEastAsia" w:hAnsiTheme="minorEastAsia" w:eastAsiaTheme="minorEastAsia"/>
          <w:sz w:val="22"/>
          <w:u w:val="single"/>
        </w:rPr>
        <w:t xml:space="preserve">                                                                              </w:t>
      </w:r>
    </w:p>
    <w:p>
      <w:pPr>
        <w:spacing w:line="360" w:lineRule="auto"/>
        <w:ind w:firstLine="442" w:firstLineChars="200"/>
        <w:jc w:val="left"/>
        <w:rPr>
          <w:rFonts w:asciiTheme="minorEastAsia" w:hAnsiTheme="minorEastAsia" w:eastAsiaTheme="minorEastAsia"/>
          <w:b/>
          <w:sz w:val="22"/>
        </w:rPr>
      </w:pPr>
    </w:p>
    <w:p>
      <w:pPr>
        <w:spacing w:line="360" w:lineRule="auto"/>
        <w:ind w:firstLine="442" w:firstLineChars="200"/>
        <w:jc w:val="left"/>
        <w:rPr>
          <w:rFonts w:asciiTheme="minorEastAsia" w:hAnsiTheme="minorEastAsia" w:eastAsiaTheme="minorEastAsia"/>
          <w:b/>
          <w:sz w:val="22"/>
        </w:rPr>
      </w:pPr>
      <w:r>
        <w:rPr>
          <w:rFonts w:hint="eastAsia" w:asciiTheme="minorEastAsia" w:hAnsiTheme="minorEastAsia" w:eastAsiaTheme="minorEastAsia"/>
          <w:b/>
          <w:sz w:val="22"/>
        </w:rPr>
        <w:t>二、技术情报和资料的保密：</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1、没有甲方事先书面同意，乙方不得将成果文件以及涉及到本项目的所有资料提供给与履行本合同无关的任何人。即使向与履行本合同有关的人员提供，也必须保密并限于履行合同必须的范围。</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2、没有甲方事先书面同意，除了履行本合同之外，乙方不应使用与本项目有关的任何文件和资料。</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3、本项目所涉及的文件和资料是甲方的财产。如果甲方有要求，乙方在完成合同后应将这些文件及全部复制件还给甲方。</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4、因乙方泄密造成甲方损失的，甲方将追究其法律责任，并要求乙方赔偿损失，支付甲方违约金人民币十五万元，甲方不承担保密措施费。如甲方损失高于违约金的，乙方应赔偿甲方的全部损失。</w:t>
      </w:r>
    </w:p>
    <w:p>
      <w:pPr>
        <w:spacing w:line="360" w:lineRule="auto"/>
        <w:ind w:firstLine="440" w:firstLineChars="200"/>
        <w:jc w:val="left"/>
        <w:rPr>
          <w:rFonts w:asciiTheme="minorEastAsia" w:hAnsiTheme="minorEastAsia" w:eastAsiaTheme="minorEastAsia"/>
          <w:sz w:val="22"/>
        </w:rPr>
      </w:pPr>
    </w:p>
    <w:p>
      <w:pPr>
        <w:spacing w:line="360" w:lineRule="auto"/>
        <w:ind w:firstLine="442" w:firstLineChars="200"/>
        <w:jc w:val="left"/>
        <w:rPr>
          <w:rFonts w:asciiTheme="minorEastAsia" w:hAnsiTheme="minorEastAsia" w:eastAsiaTheme="minorEastAsia"/>
          <w:b/>
          <w:sz w:val="22"/>
        </w:rPr>
      </w:pPr>
      <w:r>
        <w:rPr>
          <w:rFonts w:hint="eastAsia" w:asciiTheme="minorEastAsia" w:hAnsiTheme="minorEastAsia" w:eastAsiaTheme="minorEastAsia"/>
          <w:b/>
          <w:sz w:val="22"/>
        </w:rPr>
        <w:t>三、验收、评价方法：</w:t>
      </w:r>
    </w:p>
    <w:p>
      <w:pPr>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以通过甲方评审为准。若甲方评审通过后，视为验收合格，若甲方评审不通过，视为不合格，则乙方需继续为甲方提供咨询服务，直至通过甲方的评审。</w:t>
      </w:r>
    </w:p>
    <w:p>
      <w:pPr>
        <w:spacing w:line="360" w:lineRule="auto"/>
        <w:ind w:firstLine="440" w:firstLineChars="200"/>
        <w:jc w:val="left"/>
        <w:rPr>
          <w:rFonts w:asciiTheme="minorEastAsia" w:hAnsiTheme="minorEastAsia" w:eastAsiaTheme="minorEastAsia"/>
          <w:sz w:val="22"/>
        </w:rPr>
      </w:pPr>
    </w:p>
    <w:p>
      <w:pPr>
        <w:spacing w:line="360" w:lineRule="auto"/>
        <w:ind w:firstLine="442" w:firstLineChars="200"/>
        <w:jc w:val="left"/>
        <w:rPr>
          <w:rFonts w:asciiTheme="minorEastAsia" w:hAnsiTheme="minorEastAsia" w:eastAsiaTheme="minorEastAsia"/>
          <w:b/>
          <w:sz w:val="22"/>
        </w:rPr>
      </w:pPr>
      <w:r>
        <w:rPr>
          <w:rFonts w:hint="eastAsia" w:asciiTheme="minorEastAsia" w:hAnsiTheme="minorEastAsia" w:eastAsiaTheme="minorEastAsia"/>
          <w:b/>
          <w:sz w:val="22"/>
        </w:rPr>
        <w:t>四、报酬及其支付方式：</w:t>
      </w:r>
    </w:p>
    <w:p>
      <w:pPr>
        <w:tabs>
          <w:tab w:val="left" w:pos="1321"/>
        </w:tabs>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1、本项目报酬（咨询经费）：</w:t>
      </w:r>
      <w:r>
        <w:rPr>
          <w:rFonts w:hint="eastAsia" w:asciiTheme="minorEastAsia" w:hAnsiTheme="minorEastAsia"/>
          <w:sz w:val="24"/>
          <w:szCs w:val="24"/>
        </w:rPr>
        <w:t>小写：人民币    元，大写：     元整</w:t>
      </w:r>
      <w:r>
        <w:rPr>
          <w:rFonts w:hint="eastAsia" w:asciiTheme="minorEastAsia" w:hAnsiTheme="minorEastAsia" w:eastAsiaTheme="minorEastAsia"/>
          <w:sz w:val="22"/>
        </w:rPr>
        <w:t>，包括开展项目所需的调研、资料、评审等所有费用。</w:t>
      </w:r>
      <w:r>
        <w:rPr>
          <w:rFonts w:hint="eastAsia" w:asciiTheme="minorEastAsia" w:hAnsiTheme="minorEastAsia"/>
          <w:sz w:val="24"/>
          <w:szCs w:val="24"/>
        </w:rPr>
        <w:t xml:space="preserve">甲方不再向乙方支付其他任何费用。本项目不含增值税咨询服务费：小写：人民币 </w:t>
      </w:r>
      <w:r>
        <w:rPr>
          <w:rFonts w:asciiTheme="minorEastAsia" w:hAnsiTheme="minorEastAsia"/>
          <w:sz w:val="24"/>
          <w:szCs w:val="24"/>
        </w:rPr>
        <w:t xml:space="preserve">     </w:t>
      </w:r>
      <w:r>
        <w:rPr>
          <w:rFonts w:hint="eastAsia" w:asciiTheme="minorEastAsia" w:hAnsiTheme="minorEastAsia"/>
          <w:sz w:val="24"/>
          <w:szCs w:val="24"/>
        </w:rPr>
        <w:t xml:space="preserve">元，大写： </w:t>
      </w:r>
      <w:r>
        <w:rPr>
          <w:rFonts w:asciiTheme="minorEastAsia" w:hAnsiTheme="minorEastAsia"/>
          <w:sz w:val="24"/>
          <w:szCs w:val="24"/>
        </w:rPr>
        <w:t xml:space="preserve">      </w:t>
      </w:r>
      <w:r>
        <w:rPr>
          <w:rFonts w:hint="eastAsia" w:asciiTheme="minorEastAsia" w:hAnsiTheme="minorEastAsia"/>
          <w:sz w:val="24"/>
          <w:szCs w:val="24"/>
        </w:rPr>
        <w:t>元整，乙方开具6%的增值税专用发票，在合同有效期限内，若因国家税收政策调整而引起的增值税税率变化的，应按照国家税收政策调整，合同总价变更为合同不含增值税咨询服务费与新增值税税率计算的合计金额。</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2、支付方式：</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咨询服务的酬金按如下阶段付款：</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预付款（合同签署后</w:t>
      </w:r>
      <w:r>
        <w:rPr>
          <w:rFonts w:asciiTheme="minorEastAsia" w:hAnsiTheme="minorEastAsia" w:eastAsiaTheme="minorEastAsia"/>
          <w:sz w:val="22"/>
        </w:rPr>
        <w:t>15</w:t>
      </w:r>
      <w:r>
        <w:rPr>
          <w:rFonts w:hint="eastAsia" w:asciiTheme="minorEastAsia" w:hAnsiTheme="minorEastAsia" w:eastAsiaTheme="minorEastAsia"/>
          <w:sz w:val="22"/>
        </w:rPr>
        <w:t>天内）：甲方支付给乙方合同总价的</w:t>
      </w:r>
      <w:r>
        <w:rPr>
          <w:rFonts w:asciiTheme="minorEastAsia" w:hAnsiTheme="minorEastAsia" w:eastAsiaTheme="minorEastAsia"/>
          <w:sz w:val="22"/>
        </w:rPr>
        <w:t>20%</w:t>
      </w:r>
      <w:r>
        <w:rPr>
          <w:rFonts w:hint="eastAsia" w:asciiTheme="minorEastAsia" w:hAnsiTheme="minorEastAsia" w:eastAsiaTheme="minorEastAsia"/>
          <w:sz w:val="22"/>
        </w:rPr>
        <w:t>；</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第一笔进度付款</w:t>
      </w:r>
      <w:r>
        <w:rPr>
          <w:rFonts w:asciiTheme="minorEastAsia" w:hAnsiTheme="minorEastAsia" w:eastAsiaTheme="minorEastAsia"/>
          <w:sz w:val="22"/>
        </w:rPr>
        <w:t xml:space="preserve">, </w:t>
      </w:r>
      <w:r>
        <w:rPr>
          <w:rFonts w:hint="eastAsia" w:asciiTheme="minorEastAsia" w:hAnsiTheme="minorEastAsia" w:eastAsiaTheme="minorEastAsia"/>
          <w:sz w:val="22"/>
        </w:rPr>
        <w:t>优化成果提交，并经过审核确认：甲方支付给乙方合同总价的50%；</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最后付款</w:t>
      </w:r>
      <w:r>
        <w:rPr>
          <w:rFonts w:asciiTheme="minorEastAsia" w:hAnsiTheme="minorEastAsia" w:eastAsiaTheme="minorEastAsia"/>
          <w:sz w:val="22"/>
        </w:rPr>
        <w:t>,</w:t>
      </w:r>
      <w:r>
        <w:rPr>
          <w:rFonts w:hint="eastAsia" w:asciiTheme="minorEastAsia" w:hAnsiTheme="minorEastAsia" w:eastAsiaTheme="minorEastAsia"/>
          <w:sz w:val="22"/>
        </w:rPr>
        <w:t>完成成果评审：甲方支付给乙方合同总价的</w:t>
      </w:r>
      <w:r>
        <w:rPr>
          <w:rFonts w:asciiTheme="minorEastAsia" w:hAnsiTheme="minorEastAsia" w:eastAsiaTheme="minorEastAsia"/>
          <w:sz w:val="22"/>
        </w:rPr>
        <w:t>3</w:t>
      </w:r>
      <w:r>
        <w:rPr>
          <w:rFonts w:hint="eastAsia" w:asciiTheme="minorEastAsia" w:hAnsiTheme="minorEastAsia" w:eastAsiaTheme="minorEastAsia"/>
          <w:sz w:val="22"/>
        </w:rPr>
        <w:t>0</w:t>
      </w:r>
      <w:r>
        <w:rPr>
          <w:rFonts w:asciiTheme="minorEastAsia" w:hAnsiTheme="minorEastAsia" w:eastAsiaTheme="minorEastAsia"/>
          <w:sz w:val="22"/>
        </w:rPr>
        <w:t>%</w:t>
      </w:r>
      <w:r>
        <w:rPr>
          <w:rFonts w:hint="eastAsia" w:asciiTheme="minorEastAsia" w:hAnsiTheme="minorEastAsia" w:eastAsiaTheme="minorEastAsia"/>
          <w:sz w:val="22"/>
        </w:rPr>
        <w:t>。</w:t>
      </w:r>
    </w:p>
    <w:p>
      <w:pPr>
        <w:autoSpaceDE w:val="0"/>
        <w:autoSpaceDN w:val="0"/>
        <w:adjustRightInd w:val="0"/>
        <w:spacing w:line="360" w:lineRule="auto"/>
        <w:ind w:firstLine="440" w:firstLineChars="200"/>
        <w:jc w:val="left"/>
        <w:rPr>
          <w:rFonts w:asciiTheme="minorEastAsia" w:hAnsiTheme="minorEastAsia" w:eastAsiaTheme="minorEastAsia"/>
          <w:sz w:val="22"/>
        </w:rPr>
      </w:pPr>
    </w:p>
    <w:p>
      <w:pPr>
        <w:adjustRightInd w:val="0"/>
        <w:snapToGrid w:val="0"/>
        <w:spacing w:line="360" w:lineRule="auto"/>
        <w:ind w:firstLine="442" w:firstLineChars="200"/>
        <w:rPr>
          <w:rFonts w:ascii="宋体" w:hAnsi="宋体"/>
          <w:b/>
          <w:sz w:val="22"/>
          <w:szCs w:val="24"/>
        </w:rPr>
      </w:pPr>
      <w:r>
        <w:rPr>
          <w:rFonts w:hint="eastAsia" w:ascii="宋体" w:hAnsi="宋体"/>
          <w:b/>
          <w:sz w:val="22"/>
          <w:szCs w:val="24"/>
        </w:rPr>
        <w:t>五、成果归属</w:t>
      </w:r>
    </w:p>
    <w:p>
      <w:pPr>
        <w:adjustRightInd w:val="0"/>
        <w:snapToGrid w:val="0"/>
        <w:spacing w:line="360" w:lineRule="auto"/>
        <w:ind w:firstLine="440" w:firstLineChars="200"/>
        <w:rPr>
          <w:rFonts w:ascii="宋体" w:hAnsi="宋体"/>
          <w:sz w:val="22"/>
          <w:szCs w:val="24"/>
        </w:rPr>
      </w:pPr>
      <w:r>
        <w:rPr>
          <w:rFonts w:ascii="宋体" w:hAnsi="宋体"/>
          <w:sz w:val="22"/>
          <w:szCs w:val="24"/>
        </w:rPr>
        <w:t>1</w:t>
      </w:r>
      <w:r>
        <w:rPr>
          <w:rFonts w:hint="eastAsia" w:ascii="宋体" w:hAnsi="宋体"/>
          <w:sz w:val="22"/>
          <w:szCs w:val="24"/>
        </w:rPr>
        <w:t>、乙方向甲方保证其向甲方提供的研究报告系基于充分的调查研究，具有专业性、客观性和权威性。本合同项下乙方根据甲方提供的资料信息以及经过调查研究而形成的研究成果，其所有权以及相关权益均归于甲方；非经甲方事先书面同意，乙方不得擅自使用或向任何其他方提供。</w:t>
      </w:r>
    </w:p>
    <w:p>
      <w:pPr>
        <w:adjustRightInd w:val="0"/>
        <w:snapToGrid w:val="0"/>
        <w:spacing w:line="360" w:lineRule="auto"/>
        <w:ind w:firstLine="440" w:firstLineChars="200"/>
        <w:rPr>
          <w:rFonts w:ascii="宋体" w:hAnsi="宋体"/>
          <w:sz w:val="22"/>
          <w:szCs w:val="24"/>
        </w:rPr>
      </w:pPr>
      <w:r>
        <w:rPr>
          <w:rFonts w:ascii="宋体" w:hAnsi="宋体"/>
          <w:sz w:val="22"/>
          <w:szCs w:val="24"/>
        </w:rPr>
        <w:t>2</w:t>
      </w:r>
      <w:r>
        <w:rPr>
          <w:rFonts w:hint="eastAsia" w:ascii="宋体" w:hAnsi="宋体"/>
          <w:sz w:val="22"/>
          <w:szCs w:val="24"/>
        </w:rPr>
        <w:t>、乙方保证其所提供的研究成果的全部或任何部分不侵犯任何其他方的合法权益，如因乙方提供的研究成果侵犯第三方合法权益而导致甲方被任何其他方主张权利的，乙方应向甲方承担违约责任。</w:t>
      </w:r>
    </w:p>
    <w:p>
      <w:pPr>
        <w:spacing w:line="360" w:lineRule="auto"/>
        <w:ind w:firstLine="440" w:firstLineChars="200"/>
        <w:jc w:val="left"/>
        <w:rPr>
          <w:rFonts w:asciiTheme="minorEastAsia" w:hAnsiTheme="minorEastAsia" w:eastAsiaTheme="minorEastAsia"/>
          <w:sz w:val="22"/>
        </w:rPr>
      </w:pPr>
    </w:p>
    <w:p>
      <w:pPr>
        <w:spacing w:line="360" w:lineRule="auto"/>
        <w:ind w:firstLine="442" w:firstLineChars="200"/>
        <w:jc w:val="left"/>
        <w:rPr>
          <w:rFonts w:asciiTheme="minorEastAsia" w:hAnsiTheme="minorEastAsia" w:eastAsiaTheme="minorEastAsia"/>
          <w:b/>
          <w:sz w:val="22"/>
        </w:rPr>
      </w:pPr>
      <w:r>
        <w:rPr>
          <w:rFonts w:hint="eastAsia" w:asciiTheme="minorEastAsia" w:hAnsiTheme="minorEastAsia" w:eastAsiaTheme="minorEastAsia"/>
          <w:b/>
          <w:sz w:val="22"/>
        </w:rPr>
        <w:t>六、违约责任；</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1、违反本合同约定，违约方应当按合同法第一百一十四条、第一百一十六条及其相应的规定承担违约责任。</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2、除合同条款规定的情况外，如果乙方没有按照合同规定的时间提供服务，甲方应在不影响合同项下的其他补救措施的情况下，从合同价中扣除误期赔偿费。每延误一周的赔偿费按合同总价的百分之一(1％)计收，直至提供合格服务为止。误期赔偿费的最高限额为合同价格的百分之十(10％)。一旦达到误期赔偿费的最高限额不再赔付，甲方有权单方面终止合同，乙方应退还已经收取的所有服务费。</w:t>
      </w:r>
    </w:p>
    <w:p>
      <w:pPr>
        <w:adjustRightInd w:val="0"/>
        <w:snapToGrid w:val="0"/>
        <w:spacing w:line="360" w:lineRule="auto"/>
        <w:ind w:firstLine="440" w:firstLineChars="200"/>
        <w:rPr>
          <w:rFonts w:ascii="宋体" w:hAnsi="宋体"/>
          <w:szCs w:val="24"/>
        </w:rPr>
      </w:pPr>
      <w:r>
        <w:rPr>
          <w:rFonts w:hint="eastAsia" w:asciiTheme="minorEastAsia" w:hAnsiTheme="minorEastAsia" w:eastAsiaTheme="minorEastAsia"/>
          <w:sz w:val="22"/>
        </w:rPr>
        <w:t>3、</w:t>
      </w:r>
      <w:r>
        <w:rPr>
          <w:rFonts w:hint="eastAsia" w:ascii="宋体" w:hAnsi="宋体"/>
          <w:szCs w:val="24"/>
        </w:rPr>
        <w:t>除本合同另有规定外，任何一方违反本合同项下义务，应按照我国《合同法》相关规定承担违约责任，向守约方承担赔偿责任。</w:t>
      </w:r>
    </w:p>
    <w:p>
      <w:pPr>
        <w:spacing w:line="360" w:lineRule="auto"/>
        <w:ind w:firstLine="440" w:firstLineChars="200"/>
        <w:jc w:val="left"/>
        <w:rPr>
          <w:rFonts w:asciiTheme="minorEastAsia" w:hAnsiTheme="minorEastAsia" w:eastAsiaTheme="minorEastAsia"/>
          <w:sz w:val="22"/>
        </w:rPr>
      </w:pPr>
    </w:p>
    <w:p>
      <w:pPr>
        <w:spacing w:line="360" w:lineRule="auto"/>
        <w:ind w:firstLine="442" w:firstLineChars="200"/>
        <w:jc w:val="left"/>
        <w:rPr>
          <w:rFonts w:asciiTheme="minorEastAsia" w:hAnsiTheme="minorEastAsia" w:eastAsiaTheme="minorEastAsia"/>
          <w:b/>
          <w:sz w:val="22"/>
        </w:rPr>
      </w:pPr>
      <w:r>
        <w:rPr>
          <w:rFonts w:hint="eastAsia" w:asciiTheme="minorEastAsia" w:hAnsiTheme="minorEastAsia" w:eastAsiaTheme="minorEastAsia"/>
          <w:b/>
          <w:sz w:val="22"/>
        </w:rPr>
        <w:t>七、争议的解决办法</w:t>
      </w:r>
    </w:p>
    <w:p>
      <w:pPr>
        <w:autoSpaceDE w:val="0"/>
        <w:autoSpaceDN w:val="0"/>
        <w:adjustRightInd w:val="0"/>
        <w:spacing w:line="360" w:lineRule="auto"/>
        <w:ind w:firstLine="440" w:firstLineChars="200"/>
        <w:jc w:val="left"/>
        <w:rPr>
          <w:rFonts w:asciiTheme="minorEastAsia" w:hAnsiTheme="minorEastAsia" w:eastAsiaTheme="minorEastAsia"/>
          <w:sz w:val="22"/>
        </w:rPr>
      </w:pPr>
      <w:r>
        <w:rPr>
          <w:rFonts w:hint="eastAsia" w:asciiTheme="minorEastAsia" w:hAnsiTheme="minorEastAsia" w:eastAsiaTheme="minorEastAsia"/>
          <w:sz w:val="22"/>
        </w:rPr>
        <w:t>1、合同双方应本着友好协商的态度来解决合同执行过程中或衔接过程中发生的争议。若争议开始后在60日历天内无法解决，则应向甲方所在地的人民法院起诉。</w:t>
      </w:r>
    </w:p>
    <w:p>
      <w:pPr>
        <w:spacing w:line="360" w:lineRule="auto"/>
        <w:ind w:firstLine="440" w:firstLineChars="200"/>
        <w:jc w:val="left"/>
        <w:rPr>
          <w:rFonts w:asciiTheme="minorEastAsia" w:hAnsiTheme="minorEastAsia" w:eastAsiaTheme="minorEastAsia"/>
          <w:sz w:val="22"/>
        </w:rPr>
      </w:pPr>
    </w:p>
    <w:p>
      <w:pPr>
        <w:spacing w:line="360" w:lineRule="auto"/>
        <w:ind w:firstLine="442" w:firstLineChars="200"/>
        <w:jc w:val="left"/>
        <w:rPr>
          <w:rFonts w:asciiTheme="minorEastAsia" w:hAnsiTheme="minorEastAsia" w:eastAsiaTheme="minorEastAsia"/>
          <w:b/>
          <w:sz w:val="22"/>
        </w:rPr>
      </w:pPr>
      <w:r>
        <w:rPr>
          <w:rFonts w:hint="eastAsia" w:asciiTheme="minorEastAsia" w:hAnsiTheme="minorEastAsia" w:eastAsiaTheme="minorEastAsia"/>
          <w:b/>
          <w:sz w:val="22"/>
        </w:rPr>
        <w:t>八、其它（含中介方权利、义务、服务费及其支付方式等上述条款未尽事宜）：</w:t>
      </w:r>
    </w:p>
    <w:p>
      <w:pPr>
        <w:spacing w:line="360" w:lineRule="auto"/>
        <w:ind w:firstLine="442" w:firstLineChars="200"/>
        <w:jc w:val="left"/>
        <w:rPr>
          <w:rFonts w:asciiTheme="minorEastAsia" w:hAnsiTheme="minorEastAsia" w:eastAsiaTheme="minorEastAsia"/>
          <w:b/>
          <w:sz w:val="22"/>
          <w:u w:val="single"/>
        </w:rPr>
      </w:pPr>
      <w:r>
        <w:rPr>
          <w:rFonts w:hint="eastAsia" w:asciiTheme="minorEastAsia" w:hAnsiTheme="minorEastAsia" w:eastAsiaTheme="minorEastAsia"/>
          <w:b/>
          <w:sz w:val="22"/>
          <w:u w:val="single"/>
        </w:rPr>
        <w:t xml:space="preserve">                                                                           </w:t>
      </w:r>
    </w:p>
    <w:p>
      <w:pPr>
        <w:spacing w:line="360" w:lineRule="auto"/>
        <w:ind w:firstLine="442" w:firstLineChars="200"/>
        <w:jc w:val="left"/>
        <w:rPr>
          <w:rFonts w:asciiTheme="minorEastAsia" w:hAnsiTheme="minorEastAsia" w:eastAsiaTheme="minorEastAsia"/>
          <w:b/>
          <w:sz w:val="22"/>
        </w:rPr>
      </w:pPr>
      <w:r>
        <w:rPr>
          <w:rFonts w:asciiTheme="minorEastAsia" w:hAnsiTheme="minorEastAsia" w:eastAsiaTheme="minorEastAsia"/>
          <w:b/>
          <w:sz w:val="22"/>
        </w:rPr>
        <w:br w:type="page"/>
      </w:r>
    </w:p>
    <w:tbl>
      <w:tblPr>
        <w:tblStyle w:val="53"/>
        <w:tblW w:w="838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620"/>
        <w:gridCol w:w="2700"/>
        <w:gridCol w:w="1440"/>
        <w:gridCol w:w="1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3" w:hRule="atLeast"/>
          <w:jc w:val="center"/>
        </w:trPr>
        <w:tc>
          <w:tcPr>
            <w:tcW w:w="656" w:type="dxa"/>
            <w:vMerge w:val="restart"/>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委托方︵甲方︶</w:t>
            </w: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名称（或姓名）</w:t>
            </w:r>
          </w:p>
        </w:tc>
        <w:tc>
          <w:tcPr>
            <w:tcW w:w="6105" w:type="dxa"/>
            <w:gridSpan w:val="3"/>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　　　　　　　　　　　　　　　　　　　　　   　（签章）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5" w:hRule="atLeast"/>
          <w:jc w:val="center"/>
        </w:trPr>
        <w:tc>
          <w:tcPr>
            <w:tcW w:w="656" w:type="dxa"/>
            <w:vMerge w:val="continue"/>
            <w:vAlign w:val="center"/>
          </w:tcPr>
          <w:p>
            <w:pPr>
              <w:jc w:val="center"/>
              <w:rPr>
                <w:rFonts w:asciiTheme="minorEastAsia" w:hAnsiTheme="minorEastAsia" w:eastAsiaTheme="minorEastAsia"/>
                <w:sz w:val="22"/>
              </w:rPr>
            </w:pP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法定代表人</w:t>
            </w:r>
          </w:p>
        </w:tc>
        <w:tc>
          <w:tcPr>
            <w:tcW w:w="270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　　　　　　　　（签章）</w:t>
            </w:r>
          </w:p>
        </w:tc>
        <w:tc>
          <w:tcPr>
            <w:tcW w:w="144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委托代理人</w:t>
            </w:r>
          </w:p>
        </w:tc>
        <w:tc>
          <w:tcPr>
            <w:tcW w:w="1965"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　　　　（签章）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656" w:type="dxa"/>
            <w:vMerge w:val="continue"/>
            <w:vAlign w:val="center"/>
          </w:tcPr>
          <w:p>
            <w:pPr>
              <w:jc w:val="center"/>
              <w:rPr>
                <w:rFonts w:asciiTheme="minorEastAsia" w:hAnsiTheme="minorEastAsia" w:eastAsiaTheme="minorEastAsia"/>
                <w:sz w:val="22"/>
              </w:rPr>
            </w:pP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联  系  人</w:t>
            </w:r>
          </w:p>
        </w:tc>
        <w:tc>
          <w:tcPr>
            <w:tcW w:w="6105" w:type="dxa"/>
            <w:gridSpan w:val="3"/>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　　　　　　　　　　　　　　　　　　　　　　　（签章）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5" w:hRule="atLeast"/>
          <w:jc w:val="center"/>
        </w:trPr>
        <w:tc>
          <w:tcPr>
            <w:tcW w:w="656" w:type="dxa"/>
            <w:vMerge w:val="continue"/>
            <w:vAlign w:val="center"/>
          </w:tcPr>
          <w:p>
            <w:pPr>
              <w:jc w:val="center"/>
              <w:rPr>
                <w:rFonts w:asciiTheme="minorEastAsia" w:hAnsiTheme="minorEastAsia" w:eastAsiaTheme="minorEastAsia"/>
                <w:sz w:val="22"/>
              </w:rPr>
            </w:pP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住      所</w:t>
            </w:r>
          </w:p>
          <w:p>
            <w:pPr>
              <w:jc w:val="center"/>
              <w:rPr>
                <w:rFonts w:asciiTheme="minorEastAsia" w:hAnsiTheme="minorEastAsia" w:eastAsiaTheme="minorEastAsia"/>
                <w:sz w:val="22"/>
              </w:rPr>
            </w:pPr>
            <w:r>
              <w:rPr>
                <w:rFonts w:hint="eastAsia" w:asciiTheme="minorEastAsia" w:hAnsiTheme="minorEastAsia" w:eastAsiaTheme="minorEastAsia"/>
                <w:sz w:val="22"/>
              </w:rPr>
              <w:t>（通讯地址）</w:t>
            </w:r>
          </w:p>
        </w:tc>
        <w:tc>
          <w:tcPr>
            <w:tcW w:w="6105" w:type="dxa"/>
            <w:gridSpan w:val="3"/>
            <w:vAlign w:val="center"/>
          </w:tcPr>
          <w:p>
            <w:pPr>
              <w:jc w:val="cente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4" w:hRule="atLeast"/>
          <w:jc w:val="center"/>
        </w:trPr>
        <w:tc>
          <w:tcPr>
            <w:tcW w:w="656" w:type="dxa"/>
            <w:vMerge w:val="continue"/>
            <w:vAlign w:val="center"/>
          </w:tcPr>
          <w:p>
            <w:pPr>
              <w:jc w:val="center"/>
              <w:rPr>
                <w:rFonts w:asciiTheme="minorEastAsia" w:hAnsiTheme="minorEastAsia" w:eastAsiaTheme="minorEastAsia"/>
                <w:sz w:val="22"/>
              </w:rPr>
            </w:pP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电     话</w:t>
            </w:r>
          </w:p>
        </w:tc>
        <w:tc>
          <w:tcPr>
            <w:tcW w:w="2700" w:type="dxa"/>
            <w:vAlign w:val="center"/>
          </w:tcPr>
          <w:p>
            <w:pPr>
              <w:jc w:val="center"/>
              <w:rPr>
                <w:rFonts w:asciiTheme="minorEastAsia" w:hAnsiTheme="minorEastAsia" w:eastAsiaTheme="minorEastAsia"/>
                <w:sz w:val="22"/>
              </w:rPr>
            </w:pPr>
          </w:p>
        </w:tc>
        <w:tc>
          <w:tcPr>
            <w:tcW w:w="144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E－mail</w:t>
            </w:r>
          </w:p>
        </w:tc>
        <w:tc>
          <w:tcPr>
            <w:tcW w:w="1965" w:type="dxa"/>
            <w:vAlign w:val="center"/>
          </w:tcPr>
          <w:p>
            <w:pPr>
              <w:jc w:val="cente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 w:hRule="atLeast"/>
          <w:jc w:val="center"/>
        </w:trPr>
        <w:tc>
          <w:tcPr>
            <w:tcW w:w="656" w:type="dxa"/>
            <w:vMerge w:val="continue"/>
            <w:vAlign w:val="center"/>
          </w:tcPr>
          <w:p>
            <w:pPr>
              <w:jc w:val="center"/>
              <w:rPr>
                <w:rFonts w:asciiTheme="minorEastAsia" w:hAnsiTheme="minorEastAsia" w:eastAsiaTheme="minorEastAsia"/>
                <w:sz w:val="22"/>
              </w:rPr>
            </w:pP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开户银行</w:t>
            </w:r>
          </w:p>
        </w:tc>
        <w:tc>
          <w:tcPr>
            <w:tcW w:w="6105" w:type="dxa"/>
            <w:gridSpan w:val="3"/>
            <w:vAlign w:val="center"/>
          </w:tcPr>
          <w:p>
            <w:pPr>
              <w:jc w:val="cente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5" w:hRule="atLeast"/>
          <w:jc w:val="center"/>
        </w:trPr>
        <w:tc>
          <w:tcPr>
            <w:tcW w:w="656" w:type="dxa"/>
            <w:vMerge w:val="continue"/>
            <w:vAlign w:val="center"/>
          </w:tcPr>
          <w:p>
            <w:pPr>
              <w:jc w:val="center"/>
              <w:rPr>
                <w:rFonts w:asciiTheme="minorEastAsia" w:hAnsiTheme="minorEastAsia" w:eastAsiaTheme="minorEastAsia"/>
                <w:sz w:val="22"/>
              </w:rPr>
            </w:pP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帐    号</w:t>
            </w:r>
          </w:p>
        </w:tc>
        <w:tc>
          <w:tcPr>
            <w:tcW w:w="2700" w:type="dxa"/>
            <w:vAlign w:val="center"/>
          </w:tcPr>
          <w:p>
            <w:pPr>
              <w:jc w:val="center"/>
              <w:rPr>
                <w:rFonts w:asciiTheme="minorEastAsia" w:hAnsiTheme="minorEastAsia" w:eastAsiaTheme="minorEastAsia"/>
                <w:sz w:val="22"/>
              </w:rPr>
            </w:pPr>
          </w:p>
        </w:tc>
        <w:tc>
          <w:tcPr>
            <w:tcW w:w="144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邮政编码</w:t>
            </w:r>
          </w:p>
        </w:tc>
        <w:tc>
          <w:tcPr>
            <w:tcW w:w="1965" w:type="dxa"/>
            <w:vAlign w:val="center"/>
          </w:tcPr>
          <w:p>
            <w:pPr>
              <w:jc w:val="cente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0" w:hRule="atLeast"/>
          <w:jc w:val="center"/>
        </w:trPr>
        <w:tc>
          <w:tcPr>
            <w:tcW w:w="656" w:type="dxa"/>
            <w:vMerge w:val="restart"/>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顾问方︵乙方︶</w:t>
            </w: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名称（或姓名）</w:t>
            </w:r>
          </w:p>
        </w:tc>
        <w:tc>
          <w:tcPr>
            <w:tcW w:w="6105" w:type="dxa"/>
            <w:gridSpan w:val="3"/>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 xml:space="preserve">                    　　　　　　　　　　　　　 （签章）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5" w:hRule="atLeast"/>
          <w:jc w:val="center"/>
        </w:trPr>
        <w:tc>
          <w:tcPr>
            <w:tcW w:w="656" w:type="dxa"/>
            <w:vMerge w:val="continue"/>
            <w:vAlign w:val="center"/>
          </w:tcPr>
          <w:p>
            <w:pPr>
              <w:jc w:val="center"/>
              <w:rPr>
                <w:rFonts w:asciiTheme="minorEastAsia" w:hAnsiTheme="minorEastAsia" w:eastAsiaTheme="minorEastAsia"/>
                <w:sz w:val="22"/>
              </w:rPr>
            </w:pP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法定代表人</w:t>
            </w:r>
          </w:p>
        </w:tc>
        <w:tc>
          <w:tcPr>
            <w:tcW w:w="270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　　　　　　　　（签章）</w:t>
            </w:r>
          </w:p>
        </w:tc>
        <w:tc>
          <w:tcPr>
            <w:tcW w:w="144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委托代理人</w:t>
            </w:r>
          </w:p>
        </w:tc>
        <w:tc>
          <w:tcPr>
            <w:tcW w:w="1965"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　　　　（签章）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6" w:hRule="atLeast"/>
          <w:jc w:val="center"/>
        </w:trPr>
        <w:tc>
          <w:tcPr>
            <w:tcW w:w="656" w:type="dxa"/>
            <w:vMerge w:val="continue"/>
            <w:vAlign w:val="center"/>
          </w:tcPr>
          <w:p>
            <w:pPr>
              <w:jc w:val="center"/>
              <w:rPr>
                <w:rFonts w:asciiTheme="minorEastAsia" w:hAnsiTheme="minorEastAsia" w:eastAsiaTheme="minorEastAsia"/>
                <w:sz w:val="22"/>
              </w:rPr>
            </w:pP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联  系  人</w:t>
            </w:r>
          </w:p>
        </w:tc>
        <w:tc>
          <w:tcPr>
            <w:tcW w:w="6105" w:type="dxa"/>
            <w:gridSpan w:val="3"/>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　　　　　　　　　　　　　　　　　　　　　　　（签章）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5" w:hRule="atLeast"/>
          <w:jc w:val="center"/>
        </w:trPr>
        <w:tc>
          <w:tcPr>
            <w:tcW w:w="656" w:type="dxa"/>
            <w:vMerge w:val="continue"/>
            <w:vAlign w:val="center"/>
          </w:tcPr>
          <w:p>
            <w:pPr>
              <w:jc w:val="center"/>
              <w:rPr>
                <w:rFonts w:asciiTheme="minorEastAsia" w:hAnsiTheme="minorEastAsia" w:eastAsiaTheme="minorEastAsia"/>
                <w:sz w:val="22"/>
              </w:rPr>
            </w:pP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住     所</w:t>
            </w:r>
          </w:p>
          <w:p>
            <w:pPr>
              <w:jc w:val="center"/>
              <w:rPr>
                <w:rFonts w:asciiTheme="minorEastAsia" w:hAnsiTheme="minorEastAsia" w:eastAsiaTheme="minorEastAsia"/>
                <w:sz w:val="22"/>
              </w:rPr>
            </w:pPr>
            <w:r>
              <w:rPr>
                <w:rFonts w:hint="eastAsia" w:asciiTheme="minorEastAsia" w:hAnsiTheme="minorEastAsia" w:eastAsiaTheme="minorEastAsia"/>
                <w:sz w:val="22"/>
              </w:rPr>
              <w:t>（通讯地址）</w:t>
            </w:r>
          </w:p>
        </w:tc>
        <w:tc>
          <w:tcPr>
            <w:tcW w:w="6105" w:type="dxa"/>
            <w:gridSpan w:val="3"/>
            <w:vAlign w:val="center"/>
          </w:tcPr>
          <w:p>
            <w:pPr>
              <w:jc w:val="cente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5" w:hRule="atLeast"/>
          <w:jc w:val="center"/>
        </w:trPr>
        <w:tc>
          <w:tcPr>
            <w:tcW w:w="656" w:type="dxa"/>
            <w:vMerge w:val="continue"/>
            <w:vAlign w:val="center"/>
          </w:tcPr>
          <w:p>
            <w:pPr>
              <w:jc w:val="center"/>
              <w:rPr>
                <w:rFonts w:asciiTheme="minorEastAsia" w:hAnsiTheme="minorEastAsia" w:eastAsiaTheme="minorEastAsia"/>
                <w:sz w:val="22"/>
              </w:rPr>
            </w:pP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电    话</w:t>
            </w:r>
          </w:p>
        </w:tc>
        <w:tc>
          <w:tcPr>
            <w:tcW w:w="2700" w:type="dxa"/>
            <w:vAlign w:val="center"/>
          </w:tcPr>
          <w:p>
            <w:pPr>
              <w:jc w:val="center"/>
              <w:rPr>
                <w:rFonts w:asciiTheme="minorEastAsia" w:hAnsiTheme="minorEastAsia" w:eastAsiaTheme="minorEastAsia"/>
                <w:sz w:val="22"/>
              </w:rPr>
            </w:pPr>
          </w:p>
        </w:tc>
        <w:tc>
          <w:tcPr>
            <w:tcW w:w="144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E－mail</w:t>
            </w:r>
          </w:p>
        </w:tc>
        <w:tc>
          <w:tcPr>
            <w:tcW w:w="1965" w:type="dxa"/>
            <w:vAlign w:val="center"/>
          </w:tcPr>
          <w:p>
            <w:pPr>
              <w:jc w:val="cente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5" w:hRule="atLeast"/>
          <w:jc w:val="center"/>
        </w:trPr>
        <w:tc>
          <w:tcPr>
            <w:tcW w:w="656" w:type="dxa"/>
            <w:vMerge w:val="continue"/>
            <w:vAlign w:val="center"/>
          </w:tcPr>
          <w:p>
            <w:pPr>
              <w:jc w:val="center"/>
              <w:rPr>
                <w:rFonts w:asciiTheme="minorEastAsia" w:hAnsiTheme="minorEastAsia" w:eastAsiaTheme="minorEastAsia"/>
                <w:sz w:val="22"/>
              </w:rPr>
            </w:pP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开户银行</w:t>
            </w:r>
          </w:p>
        </w:tc>
        <w:tc>
          <w:tcPr>
            <w:tcW w:w="6105" w:type="dxa"/>
            <w:gridSpan w:val="3"/>
            <w:vAlign w:val="center"/>
          </w:tcPr>
          <w:p>
            <w:pPr>
              <w:jc w:val="center"/>
              <w:rPr>
                <w:rFonts w:asciiTheme="minorEastAsia" w:hAnsiTheme="minorEastAsia" w:eastAsiaTheme="minorEastAsia"/>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5" w:hRule="atLeast"/>
          <w:jc w:val="center"/>
        </w:trPr>
        <w:tc>
          <w:tcPr>
            <w:tcW w:w="656" w:type="dxa"/>
            <w:vMerge w:val="continue"/>
            <w:vAlign w:val="center"/>
          </w:tcPr>
          <w:p>
            <w:pPr>
              <w:jc w:val="center"/>
              <w:rPr>
                <w:rFonts w:asciiTheme="minorEastAsia" w:hAnsiTheme="minorEastAsia" w:eastAsiaTheme="minorEastAsia"/>
                <w:sz w:val="22"/>
              </w:rPr>
            </w:pPr>
          </w:p>
        </w:tc>
        <w:tc>
          <w:tcPr>
            <w:tcW w:w="162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帐    号</w:t>
            </w:r>
          </w:p>
        </w:tc>
        <w:tc>
          <w:tcPr>
            <w:tcW w:w="2700" w:type="dxa"/>
            <w:vAlign w:val="center"/>
          </w:tcPr>
          <w:p>
            <w:pPr>
              <w:jc w:val="center"/>
              <w:rPr>
                <w:rFonts w:asciiTheme="minorEastAsia" w:hAnsiTheme="minorEastAsia" w:eastAsiaTheme="minorEastAsia"/>
                <w:sz w:val="22"/>
              </w:rPr>
            </w:pPr>
          </w:p>
        </w:tc>
        <w:tc>
          <w:tcPr>
            <w:tcW w:w="1440" w:type="dxa"/>
            <w:vAlign w:val="center"/>
          </w:tcPr>
          <w:p>
            <w:pPr>
              <w:jc w:val="center"/>
              <w:rPr>
                <w:rFonts w:asciiTheme="minorEastAsia" w:hAnsiTheme="minorEastAsia" w:eastAsiaTheme="minorEastAsia"/>
                <w:sz w:val="22"/>
              </w:rPr>
            </w:pPr>
            <w:r>
              <w:rPr>
                <w:rFonts w:hint="eastAsia" w:asciiTheme="minorEastAsia" w:hAnsiTheme="minorEastAsia" w:eastAsiaTheme="minorEastAsia"/>
                <w:sz w:val="22"/>
              </w:rPr>
              <w:t>邮政编码</w:t>
            </w:r>
          </w:p>
        </w:tc>
        <w:tc>
          <w:tcPr>
            <w:tcW w:w="1965" w:type="dxa"/>
            <w:vAlign w:val="center"/>
          </w:tcPr>
          <w:p>
            <w:pPr>
              <w:jc w:val="center"/>
              <w:rPr>
                <w:rFonts w:asciiTheme="minorEastAsia" w:hAnsiTheme="minorEastAsia" w:eastAsiaTheme="minorEastAsia"/>
                <w:sz w:val="22"/>
              </w:rPr>
            </w:pPr>
          </w:p>
        </w:tc>
      </w:tr>
    </w:tbl>
    <w:p>
      <w:pPr>
        <w:pStyle w:val="2"/>
        <w:spacing w:before="0" w:after="0" w:line="360" w:lineRule="auto"/>
        <w:jc w:val="center"/>
        <w:rPr>
          <w:rFonts w:ascii="Calibri" w:hAnsi="Calibri" w:eastAsia="黑体" w:cs="Calibri"/>
          <w:kern w:val="0"/>
          <w:sz w:val="32"/>
        </w:rPr>
      </w:pPr>
      <w:r>
        <w:rPr>
          <w:rFonts w:asciiTheme="minorEastAsia" w:hAnsiTheme="minorEastAsia" w:eastAsiaTheme="minorEastAsia"/>
          <w:sz w:val="22"/>
        </w:rPr>
        <w:br w:type="page"/>
      </w:r>
      <w:r>
        <w:rPr>
          <w:rFonts w:hint="eastAsia" w:asciiTheme="minorEastAsia" w:hAnsiTheme="minorEastAsia" w:eastAsiaTheme="minorEastAsia"/>
          <w:b w:val="0"/>
          <w:sz w:val="22"/>
        </w:rPr>
        <w:t xml:space="preserve"> </w:t>
      </w:r>
      <w:bookmarkStart w:id="118" w:name="_Toc448002987"/>
      <w:r>
        <w:rPr>
          <w:rFonts w:ascii="Calibri" w:hAnsi="Calibri" w:eastAsia="黑体" w:cs="Calibri"/>
          <w:kern w:val="0"/>
          <w:sz w:val="32"/>
        </w:rPr>
        <w:t>第</w:t>
      </w:r>
      <w:r>
        <w:rPr>
          <w:rFonts w:hint="eastAsia" w:ascii="Calibri" w:hAnsi="Calibri" w:eastAsia="黑体" w:cs="Calibri"/>
          <w:kern w:val="0"/>
          <w:sz w:val="32"/>
        </w:rPr>
        <w:t>五</w:t>
      </w:r>
      <w:r>
        <w:rPr>
          <w:rFonts w:ascii="Calibri" w:hAnsi="Calibri" w:eastAsia="黑体" w:cs="Calibri"/>
          <w:kern w:val="0"/>
          <w:sz w:val="32"/>
        </w:rPr>
        <w:t>章  评标方法及标准</w:t>
      </w:r>
      <w:bookmarkEnd w:id="118"/>
    </w:p>
    <w:p>
      <w:pPr>
        <w:pStyle w:val="21"/>
        <w:spacing w:line="360" w:lineRule="exact"/>
        <w:ind w:firstLine="420"/>
        <w:rPr>
          <w:rFonts w:hAnsi="宋体" w:cs="Calibri"/>
          <w:bCs/>
          <w:sz w:val="22"/>
          <w:szCs w:val="22"/>
        </w:rPr>
      </w:pPr>
      <w:bookmarkStart w:id="119" w:name="_Toc29892"/>
      <w:r>
        <w:rPr>
          <w:rFonts w:hAnsi="宋体" w:cs="Calibri"/>
          <w:bCs/>
          <w:sz w:val="22"/>
          <w:szCs w:val="22"/>
        </w:rPr>
        <w:t>为保证本招标项目评标工作顺利进行，根据《中华人民共和国招标投标法》、《中华人民共和国招标投标法实施条例》、《评标委员会和评标方法暂行规定》（原国家发展计划委员会、建设部等七部委 第12号令）等有关规定，制定本办法。</w:t>
      </w:r>
    </w:p>
    <w:p>
      <w:pPr>
        <w:pStyle w:val="21"/>
        <w:spacing w:line="360" w:lineRule="exact"/>
        <w:rPr>
          <w:rFonts w:hAnsi="宋体" w:cs="Calibri"/>
          <w:b/>
          <w:bCs/>
          <w:sz w:val="22"/>
          <w:szCs w:val="22"/>
        </w:rPr>
      </w:pPr>
      <w:r>
        <w:rPr>
          <w:rFonts w:hAnsi="宋体" w:cs="Calibri"/>
          <w:b/>
          <w:bCs/>
          <w:sz w:val="22"/>
          <w:szCs w:val="22"/>
        </w:rPr>
        <w:t>一、评标原则</w:t>
      </w:r>
    </w:p>
    <w:p>
      <w:pPr>
        <w:pStyle w:val="21"/>
        <w:spacing w:line="360" w:lineRule="exact"/>
        <w:ind w:firstLine="420"/>
        <w:rPr>
          <w:rFonts w:hAnsi="宋体" w:cs="Calibri"/>
          <w:sz w:val="22"/>
          <w:szCs w:val="22"/>
        </w:rPr>
      </w:pPr>
      <w:r>
        <w:rPr>
          <w:rFonts w:hAnsi="宋体" w:cs="Calibri"/>
          <w:bCs/>
          <w:sz w:val="22"/>
          <w:szCs w:val="22"/>
        </w:rPr>
        <w:t>评标应遵循公平、公正、科学、择优的原则。</w:t>
      </w:r>
    </w:p>
    <w:p>
      <w:pPr>
        <w:pStyle w:val="21"/>
        <w:spacing w:line="360" w:lineRule="exact"/>
        <w:rPr>
          <w:rFonts w:hAnsi="宋体" w:cs="Calibri"/>
          <w:b/>
          <w:bCs/>
          <w:sz w:val="22"/>
          <w:szCs w:val="22"/>
        </w:rPr>
      </w:pPr>
      <w:r>
        <w:rPr>
          <w:rFonts w:hAnsi="宋体" w:cs="Calibri"/>
          <w:b/>
          <w:bCs/>
          <w:sz w:val="22"/>
          <w:szCs w:val="22"/>
        </w:rPr>
        <w:t>二、评标组织</w:t>
      </w:r>
    </w:p>
    <w:p>
      <w:pPr>
        <w:pStyle w:val="21"/>
        <w:spacing w:line="360" w:lineRule="exact"/>
        <w:ind w:firstLine="420"/>
        <w:rPr>
          <w:rFonts w:hAnsi="宋体" w:cs="Calibri"/>
          <w:sz w:val="22"/>
          <w:szCs w:val="22"/>
        </w:rPr>
      </w:pPr>
      <w:r>
        <w:rPr>
          <w:rFonts w:hAnsi="宋体" w:cs="Calibri"/>
          <w:sz w:val="22"/>
          <w:szCs w:val="22"/>
        </w:rPr>
        <w:t>评标工作由招标人依法组建的评标委员会（小组）负责。评标委员会成员为</w:t>
      </w:r>
      <w:r>
        <w:rPr>
          <w:rFonts w:hint="eastAsia" w:hAnsi="宋体" w:cs="Calibri"/>
          <w:sz w:val="22"/>
          <w:szCs w:val="22"/>
        </w:rPr>
        <w:t>3</w:t>
      </w:r>
      <w:r>
        <w:rPr>
          <w:rFonts w:hAnsi="宋体" w:cs="Calibri"/>
          <w:sz w:val="22"/>
          <w:szCs w:val="22"/>
        </w:rPr>
        <w:t>人及以上单数，</w:t>
      </w:r>
      <w:r>
        <w:rPr>
          <w:rFonts w:hint="eastAsia" w:hAnsi="宋体"/>
          <w:sz w:val="22"/>
          <w:szCs w:val="22"/>
        </w:rPr>
        <w:t>评标委员会由招标人自行组建。</w:t>
      </w:r>
    </w:p>
    <w:p>
      <w:pPr>
        <w:pStyle w:val="21"/>
        <w:spacing w:line="360" w:lineRule="exact"/>
        <w:rPr>
          <w:rFonts w:hAnsi="宋体" w:cs="Calibri"/>
          <w:b/>
          <w:bCs/>
          <w:sz w:val="22"/>
          <w:szCs w:val="22"/>
        </w:rPr>
      </w:pPr>
      <w:r>
        <w:rPr>
          <w:rFonts w:hAnsi="宋体" w:cs="Calibri"/>
          <w:b/>
          <w:bCs/>
          <w:sz w:val="22"/>
          <w:szCs w:val="22"/>
        </w:rPr>
        <w:t>三、投标文件的评审</w:t>
      </w:r>
    </w:p>
    <w:p>
      <w:pPr>
        <w:pStyle w:val="21"/>
        <w:spacing w:line="360" w:lineRule="exact"/>
        <w:ind w:firstLine="442" w:firstLineChars="200"/>
        <w:rPr>
          <w:rFonts w:hAnsi="宋体" w:cs="Calibri"/>
          <w:b/>
          <w:sz w:val="22"/>
          <w:szCs w:val="22"/>
        </w:rPr>
      </w:pPr>
      <w:r>
        <w:rPr>
          <w:rFonts w:hAnsi="宋体" w:cs="Calibri"/>
          <w:b/>
          <w:sz w:val="22"/>
          <w:szCs w:val="22"/>
        </w:rPr>
        <w:t>3.1 符合性评审</w:t>
      </w:r>
    </w:p>
    <w:p>
      <w:pPr>
        <w:widowControl/>
        <w:tabs>
          <w:tab w:val="left" w:pos="709"/>
        </w:tabs>
        <w:snapToGrid w:val="0"/>
        <w:spacing w:line="360" w:lineRule="exact"/>
        <w:ind w:firstLine="444" w:firstLineChars="202"/>
        <w:rPr>
          <w:rFonts w:ascii="宋体" w:hAnsi="宋体" w:cs="Calibri"/>
          <w:bCs/>
          <w:kern w:val="0"/>
          <w:sz w:val="22"/>
        </w:rPr>
      </w:pPr>
      <w:r>
        <w:rPr>
          <w:rFonts w:ascii="宋体" w:hAnsi="宋体" w:cs="Calibri"/>
          <w:bCs/>
          <w:kern w:val="0"/>
          <w:sz w:val="22"/>
        </w:rPr>
        <w:t>3.1.1评标委员会应依照招标文件的要求和规定首先对投标人的投标资格和投标文件进行符合性审查，</w:t>
      </w:r>
      <w:r>
        <w:rPr>
          <w:rFonts w:ascii="宋体" w:hAnsi="宋体" w:cs="Calibri"/>
          <w:b/>
          <w:kern w:val="0"/>
          <w:sz w:val="22"/>
        </w:rPr>
        <w:t>审查过程中评标委员会可以要求投标人提交下列审查项所需的有关证明和证件的原件，以便核验。</w:t>
      </w:r>
      <w:r>
        <w:rPr>
          <w:rFonts w:ascii="宋体" w:hAnsi="宋体" w:cs="Calibri"/>
          <w:bCs/>
          <w:kern w:val="0"/>
          <w:sz w:val="22"/>
        </w:rPr>
        <w:t>投标文件如存在以下情况之一的，经评标委员会三分之二以上的成员认定，符合性审查不予通过，</w:t>
      </w:r>
      <w:r>
        <w:rPr>
          <w:rFonts w:ascii="宋体" w:hAnsi="宋体" w:cs="Calibri"/>
          <w:b/>
          <w:bCs/>
          <w:kern w:val="0"/>
          <w:sz w:val="22"/>
        </w:rPr>
        <w:t>作</w:t>
      </w:r>
      <w:r>
        <w:rPr>
          <w:rFonts w:hint="eastAsia" w:ascii="宋体" w:hAnsi="宋体" w:cs="Calibri"/>
          <w:b/>
          <w:bCs/>
          <w:kern w:val="0"/>
          <w:sz w:val="22"/>
        </w:rPr>
        <w:t>否决投标</w:t>
      </w:r>
      <w:r>
        <w:rPr>
          <w:rFonts w:ascii="宋体" w:hAnsi="宋体" w:cs="Calibri"/>
          <w:b/>
          <w:bCs/>
          <w:kern w:val="0"/>
          <w:sz w:val="22"/>
        </w:rPr>
        <w:t>处理，</w:t>
      </w:r>
      <w:r>
        <w:rPr>
          <w:rFonts w:ascii="宋体" w:hAnsi="宋体" w:cs="Calibri"/>
          <w:bCs/>
          <w:kern w:val="0"/>
          <w:sz w:val="22"/>
        </w:rPr>
        <w:t>不再进行详细评审：</w:t>
      </w:r>
    </w:p>
    <w:p>
      <w:pPr>
        <w:spacing w:line="360" w:lineRule="exact"/>
        <w:ind w:firstLine="471" w:firstLineChars="214"/>
        <w:rPr>
          <w:rFonts w:ascii="宋体" w:hAnsi="宋体" w:cs="Calibri"/>
          <w:sz w:val="22"/>
        </w:rPr>
      </w:pPr>
      <w:r>
        <w:rPr>
          <w:rFonts w:ascii="宋体" w:hAnsi="宋体" w:cs="Calibri"/>
          <w:sz w:val="22"/>
        </w:rPr>
        <w:t>1、</w:t>
      </w:r>
      <w:r>
        <w:rPr>
          <w:rFonts w:ascii="宋体" w:hAnsi="宋体" w:cs="Calibri"/>
          <w:bCs/>
          <w:kern w:val="0"/>
          <w:sz w:val="22"/>
        </w:rPr>
        <w:t>投标人的投标资格不满足国家有关规定或招标文件载明的投标资格条件的；</w:t>
      </w:r>
    </w:p>
    <w:p>
      <w:pPr>
        <w:spacing w:line="360" w:lineRule="exact"/>
        <w:ind w:firstLine="471" w:firstLineChars="214"/>
        <w:rPr>
          <w:rFonts w:ascii="宋体" w:hAnsi="宋体" w:cs="Calibri"/>
          <w:sz w:val="22"/>
        </w:rPr>
      </w:pPr>
      <w:r>
        <w:rPr>
          <w:rFonts w:ascii="宋体" w:hAnsi="宋体" w:cs="Calibri"/>
          <w:sz w:val="22"/>
        </w:rPr>
        <w:t>2、投标文件未按招标文件的要求签署和盖章的（仅限于单位印章和法定代表人或其委托代理人签字或盖章）；</w:t>
      </w:r>
    </w:p>
    <w:p>
      <w:pPr>
        <w:spacing w:line="360" w:lineRule="exact"/>
        <w:ind w:firstLine="471" w:firstLineChars="214"/>
        <w:rPr>
          <w:rFonts w:ascii="宋体" w:hAnsi="宋体" w:cs="Calibri"/>
          <w:sz w:val="22"/>
        </w:rPr>
      </w:pPr>
      <w:r>
        <w:rPr>
          <w:rFonts w:ascii="宋体" w:hAnsi="宋体" w:cs="Calibri"/>
          <w:sz w:val="22"/>
        </w:rPr>
        <w:t>3、投标文件未按规定的格式填写，内容不全或关键字迹模糊、无法辨认的；</w:t>
      </w:r>
    </w:p>
    <w:p>
      <w:pPr>
        <w:spacing w:line="360" w:lineRule="exact"/>
        <w:ind w:firstLine="471" w:firstLineChars="214"/>
        <w:rPr>
          <w:rFonts w:ascii="宋体" w:hAnsi="宋体" w:cs="Calibri"/>
          <w:sz w:val="22"/>
        </w:rPr>
      </w:pPr>
      <w:r>
        <w:rPr>
          <w:rFonts w:ascii="宋体" w:hAnsi="宋体" w:cs="Calibri"/>
          <w:sz w:val="22"/>
        </w:rPr>
        <w:t>4、投标人递交两份或多份内容不同的投标文件，或在一份投标文件中对同一招标项目报有两个或多个报价，且未声明哪一个有效；</w:t>
      </w:r>
    </w:p>
    <w:p>
      <w:pPr>
        <w:spacing w:line="360" w:lineRule="exact"/>
        <w:ind w:firstLine="471" w:firstLineChars="214"/>
        <w:rPr>
          <w:rFonts w:ascii="宋体" w:hAnsi="宋体" w:cs="Calibri"/>
          <w:sz w:val="22"/>
        </w:rPr>
      </w:pPr>
      <w:r>
        <w:rPr>
          <w:rFonts w:ascii="宋体" w:hAnsi="宋体" w:cs="Calibri"/>
          <w:sz w:val="22"/>
        </w:rPr>
        <w:t>5、</w:t>
      </w:r>
      <w:r>
        <w:rPr>
          <w:rFonts w:hint="eastAsia" w:ascii="宋体" w:hAnsi="宋体" w:cs="Calibri"/>
          <w:sz w:val="22"/>
        </w:rPr>
        <w:t>服务</w:t>
      </w:r>
      <w:r>
        <w:rPr>
          <w:rFonts w:ascii="宋体" w:hAnsi="宋体" w:cs="Calibri"/>
          <w:sz w:val="22"/>
        </w:rPr>
        <w:t>期不满足招标文件要求的；</w:t>
      </w:r>
    </w:p>
    <w:p>
      <w:pPr>
        <w:spacing w:line="360" w:lineRule="exact"/>
        <w:ind w:firstLine="471" w:firstLineChars="214"/>
        <w:rPr>
          <w:rFonts w:ascii="宋体" w:hAnsi="宋体" w:cs="Calibri"/>
          <w:sz w:val="22"/>
        </w:rPr>
      </w:pPr>
      <w:r>
        <w:rPr>
          <w:rFonts w:ascii="宋体" w:hAnsi="宋体" w:cs="Calibri"/>
          <w:sz w:val="22"/>
        </w:rPr>
        <w:t>6、不</w:t>
      </w:r>
      <w:r>
        <w:rPr>
          <w:rFonts w:ascii="宋体" w:hAnsi="宋体" w:cs="Calibri"/>
          <w:kern w:val="0"/>
          <w:sz w:val="22"/>
        </w:rPr>
        <w:t>响应招标文件规定的实质性要求（包括具体条文前用“★”标示的）</w:t>
      </w:r>
    </w:p>
    <w:p>
      <w:pPr>
        <w:spacing w:line="360" w:lineRule="exact"/>
        <w:ind w:firstLine="471" w:firstLineChars="214"/>
        <w:rPr>
          <w:rFonts w:ascii="宋体" w:hAnsi="宋体" w:cs="Calibri"/>
          <w:sz w:val="22"/>
        </w:rPr>
      </w:pPr>
      <w:r>
        <w:rPr>
          <w:rFonts w:ascii="宋体" w:hAnsi="宋体" w:cs="Calibri"/>
          <w:sz w:val="22"/>
        </w:rPr>
        <w:t>7、投标人不以自己的名义或未按招标文件的要求提供投标保证金或提供的保证金有缺陷而不能接受的；</w:t>
      </w:r>
    </w:p>
    <w:p>
      <w:pPr>
        <w:spacing w:line="360" w:lineRule="exact"/>
        <w:ind w:firstLine="471" w:firstLineChars="214"/>
        <w:rPr>
          <w:rFonts w:ascii="宋体" w:hAnsi="宋体" w:cs="Calibri"/>
          <w:sz w:val="22"/>
        </w:rPr>
      </w:pPr>
      <w:r>
        <w:rPr>
          <w:rFonts w:ascii="宋体" w:hAnsi="宋体" w:cs="Calibri"/>
          <w:sz w:val="22"/>
        </w:rPr>
        <w:t>8、投标人以他人名义投标、或与他人串通投标、或以行贿手段谋取中标，或弄虚作假的；</w:t>
      </w:r>
    </w:p>
    <w:p>
      <w:pPr>
        <w:spacing w:line="360" w:lineRule="exact"/>
        <w:ind w:firstLine="471" w:firstLineChars="214"/>
        <w:rPr>
          <w:rFonts w:ascii="宋体" w:hAnsi="宋体" w:cs="Calibri"/>
          <w:sz w:val="22"/>
        </w:rPr>
      </w:pPr>
      <w:r>
        <w:rPr>
          <w:rFonts w:hint="eastAsia" w:ascii="宋体" w:hAnsi="宋体" w:cs="Calibri"/>
          <w:sz w:val="22"/>
        </w:rPr>
        <w:t>9</w:t>
      </w:r>
      <w:r>
        <w:rPr>
          <w:rFonts w:ascii="宋体" w:hAnsi="宋体" w:cs="Calibri"/>
          <w:sz w:val="22"/>
        </w:rPr>
        <w:t>、存在法律、法规、规章规定的其它无效投标情况的</w:t>
      </w:r>
      <w:r>
        <w:rPr>
          <w:rFonts w:hint="eastAsia" w:ascii="宋体" w:hAnsi="宋体" w:cs="Calibri"/>
          <w:sz w:val="22"/>
        </w:rPr>
        <w:t>。</w:t>
      </w:r>
    </w:p>
    <w:p>
      <w:pPr>
        <w:widowControl/>
        <w:tabs>
          <w:tab w:val="left" w:pos="709"/>
        </w:tabs>
        <w:snapToGrid w:val="0"/>
        <w:spacing w:line="360" w:lineRule="exact"/>
        <w:ind w:firstLine="446" w:firstLineChars="202"/>
        <w:rPr>
          <w:rFonts w:ascii="宋体" w:hAnsi="宋体" w:cs="Calibri"/>
          <w:b/>
          <w:sz w:val="22"/>
        </w:rPr>
      </w:pPr>
      <w:r>
        <w:rPr>
          <w:rFonts w:ascii="宋体" w:hAnsi="宋体" w:cs="Calibri"/>
          <w:b/>
          <w:sz w:val="22"/>
        </w:rPr>
        <w:t>3.1.2 报价算术性修正</w:t>
      </w:r>
    </w:p>
    <w:p>
      <w:pPr>
        <w:pStyle w:val="21"/>
        <w:spacing w:line="360" w:lineRule="exact"/>
        <w:ind w:firstLine="440" w:firstLineChars="200"/>
        <w:rPr>
          <w:rFonts w:hAnsi="宋体" w:cs="Calibri"/>
          <w:sz w:val="22"/>
          <w:szCs w:val="22"/>
        </w:rPr>
      </w:pPr>
      <w:r>
        <w:rPr>
          <w:rFonts w:hAnsi="宋体" w:cs="Calibri"/>
          <w:sz w:val="22"/>
          <w:szCs w:val="22"/>
        </w:rPr>
        <w:t>评标委员会按以下原则对通过符合性审查的投标文件报价进行算术性修正：</w:t>
      </w:r>
    </w:p>
    <w:p>
      <w:pPr>
        <w:spacing w:line="360" w:lineRule="exact"/>
        <w:ind w:firstLine="471" w:firstLineChars="214"/>
        <w:rPr>
          <w:rFonts w:ascii="宋体" w:hAnsi="宋体" w:cs="Calibri"/>
          <w:kern w:val="0"/>
          <w:sz w:val="22"/>
        </w:rPr>
      </w:pPr>
      <w:r>
        <w:rPr>
          <w:rFonts w:hint="eastAsia" w:ascii="宋体" w:hAnsi="宋体" w:cs="Calibri"/>
          <w:kern w:val="0"/>
          <w:sz w:val="22"/>
        </w:rPr>
        <w:t>1、</w:t>
      </w:r>
      <w:r>
        <w:rPr>
          <w:rFonts w:ascii="宋体" w:hAnsi="宋体" w:cs="Calibri"/>
          <w:kern w:val="0"/>
          <w:sz w:val="22"/>
        </w:rPr>
        <w:t>投标文件中的大写金额与小写金额不一致的，以大写金额为准；</w:t>
      </w:r>
    </w:p>
    <w:p>
      <w:pPr>
        <w:spacing w:line="360" w:lineRule="exact"/>
        <w:ind w:firstLine="471" w:firstLineChars="214"/>
        <w:rPr>
          <w:rFonts w:ascii="宋体" w:hAnsi="宋体" w:cs="Calibri"/>
          <w:kern w:val="0"/>
          <w:sz w:val="22"/>
        </w:rPr>
      </w:pPr>
      <w:r>
        <w:rPr>
          <w:rFonts w:hint="eastAsia" w:ascii="宋体" w:hAnsi="宋体" w:cs="Calibri"/>
          <w:kern w:val="0"/>
          <w:sz w:val="22"/>
        </w:rPr>
        <w:t>2、</w:t>
      </w:r>
      <w:r>
        <w:rPr>
          <w:rFonts w:ascii="宋体" w:hAnsi="宋体" w:cs="Calibri"/>
          <w:kern w:val="0"/>
          <w:sz w:val="22"/>
        </w:rPr>
        <w:t>总价金额与依据单价（或各分项合计）计算出的结果不一致的，以单价金额（或各分项合计）为准修正总价，但单价金额小数点有明显错误的除外。</w:t>
      </w:r>
    </w:p>
    <w:p>
      <w:pPr>
        <w:pStyle w:val="21"/>
        <w:spacing w:line="360" w:lineRule="exact"/>
        <w:ind w:firstLine="440" w:firstLineChars="200"/>
        <w:rPr>
          <w:rFonts w:hAnsi="宋体" w:cs="Calibri"/>
          <w:b/>
          <w:sz w:val="22"/>
          <w:szCs w:val="22"/>
        </w:rPr>
      </w:pPr>
      <w:r>
        <w:rPr>
          <w:rFonts w:hAnsi="宋体" w:cs="Calibri"/>
          <w:sz w:val="22"/>
          <w:szCs w:val="22"/>
        </w:rPr>
        <w:t>修正的价格经投标人书面确认后具有约束力。投标人不接受修正价格的，其投标作</w:t>
      </w:r>
      <w:r>
        <w:rPr>
          <w:rFonts w:hAnsi="宋体" w:cs="Calibri"/>
          <w:b/>
          <w:sz w:val="22"/>
          <w:szCs w:val="22"/>
        </w:rPr>
        <w:t>废标处理</w:t>
      </w:r>
      <w:r>
        <w:rPr>
          <w:rFonts w:hAnsi="宋体" w:cs="Calibri"/>
          <w:sz w:val="22"/>
          <w:szCs w:val="22"/>
        </w:rPr>
        <w:t>。</w:t>
      </w:r>
    </w:p>
    <w:p>
      <w:pPr>
        <w:pStyle w:val="21"/>
        <w:spacing w:line="360" w:lineRule="exact"/>
        <w:ind w:firstLine="440" w:firstLineChars="200"/>
        <w:rPr>
          <w:rFonts w:hAnsi="宋体" w:cs="Calibri"/>
          <w:b/>
          <w:sz w:val="22"/>
          <w:szCs w:val="22"/>
        </w:rPr>
      </w:pPr>
      <w:r>
        <w:rPr>
          <w:rFonts w:hAnsi="宋体" w:cs="Calibri"/>
          <w:sz w:val="22"/>
          <w:szCs w:val="22"/>
        </w:rPr>
        <w:t>当通过符合性评审的单位少于三家时（不包括三家），应由评标委员会确认是否具有竞争性，如果有竞争性，则评标继续进行。</w:t>
      </w:r>
    </w:p>
    <w:p>
      <w:pPr>
        <w:pStyle w:val="21"/>
        <w:spacing w:line="360" w:lineRule="exact"/>
        <w:ind w:firstLine="442" w:firstLineChars="200"/>
        <w:rPr>
          <w:rFonts w:hAnsi="宋体" w:cs="Calibri"/>
          <w:b/>
          <w:sz w:val="22"/>
          <w:szCs w:val="22"/>
        </w:rPr>
      </w:pPr>
      <w:r>
        <w:rPr>
          <w:rFonts w:hAnsi="宋体" w:cs="Calibri"/>
          <w:b/>
          <w:sz w:val="22"/>
          <w:szCs w:val="22"/>
        </w:rPr>
        <w:t>3.2 投标文件的澄清和补正</w:t>
      </w:r>
    </w:p>
    <w:p>
      <w:pPr>
        <w:pStyle w:val="21"/>
        <w:adjustRightInd w:val="0"/>
        <w:snapToGrid w:val="0"/>
        <w:spacing w:line="360" w:lineRule="exact"/>
        <w:ind w:firstLine="440" w:firstLineChars="200"/>
        <w:rPr>
          <w:rFonts w:hAnsi="宋体" w:cs="Calibri"/>
          <w:sz w:val="22"/>
          <w:szCs w:val="22"/>
        </w:rPr>
      </w:pPr>
      <w:r>
        <w:rPr>
          <w:rFonts w:hAnsi="宋体" w:cs="Calibri"/>
          <w:sz w:val="22"/>
          <w:szCs w:val="22"/>
        </w:rPr>
        <w:t>3.2.1 在评标过程中，评标委员会可以书面形式要求投标人对所提交的投标文件中不明确的内容进行书面澄清、说明或者补正。评标委员会不接受投标人主动提出的澄清、说明或补正。</w:t>
      </w:r>
    </w:p>
    <w:p>
      <w:pPr>
        <w:pStyle w:val="21"/>
        <w:adjustRightInd w:val="0"/>
        <w:snapToGrid w:val="0"/>
        <w:spacing w:line="360" w:lineRule="exact"/>
        <w:ind w:firstLine="440" w:firstLineChars="200"/>
        <w:rPr>
          <w:rFonts w:hAnsi="宋体" w:cs="Calibri"/>
          <w:sz w:val="22"/>
          <w:szCs w:val="22"/>
        </w:rPr>
      </w:pPr>
      <w:r>
        <w:rPr>
          <w:rFonts w:hAnsi="宋体" w:cs="Calibri"/>
          <w:sz w:val="22"/>
          <w:szCs w:val="22"/>
        </w:rPr>
        <w:t>3.2.2澄清、说明和补正不得改变投标文件的实质性内容（算术性错误修正的除外）。投标人的书面澄清、说明和补正属于投标文件的组成部分。</w:t>
      </w:r>
    </w:p>
    <w:p>
      <w:pPr>
        <w:pStyle w:val="21"/>
        <w:adjustRightInd w:val="0"/>
        <w:snapToGrid w:val="0"/>
        <w:spacing w:line="360" w:lineRule="exact"/>
        <w:ind w:firstLine="440" w:firstLineChars="200"/>
        <w:rPr>
          <w:rFonts w:hAnsi="宋体" w:cs="Calibri"/>
          <w:sz w:val="22"/>
          <w:szCs w:val="22"/>
        </w:rPr>
      </w:pPr>
      <w:r>
        <w:rPr>
          <w:rFonts w:hAnsi="宋体" w:cs="Calibri"/>
          <w:sz w:val="22"/>
          <w:szCs w:val="22"/>
        </w:rPr>
        <w:t>3.2.3 评标委员会对投标人提交的澄清、说明或补正有疑问的，可以要求投标人进一步澄清、说明或补正，直至满足评标委员会的要求。</w:t>
      </w:r>
    </w:p>
    <w:p>
      <w:pPr>
        <w:adjustRightInd w:val="0"/>
        <w:snapToGrid w:val="0"/>
        <w:spacing w:line="360" w:lineRule="exact"/>
        <w:ind w:firstLine="442" w:firstLineChars="200"/>
        <w:rPr>
          <w:rFonts w:ascii="宋体" w:hAnsi="宋体"/>
          <w:b/>
          <w:color w:val="000000"/>
          <w:sz w:val="22"/>
        </w:rPr>
      </w:pPr>
      <w:r>
        <w:rPr>
          <w:rFonts w:ascii="宋体" w:hAnsi="宋体" w:cs="Calibri"/>
          <w:b/>
          <w:sz w:val="22"/>
        </w:rPr>
        <w:t>3.3</w:t>
      </w:r>
      <w:r>
        <w:rPr>
          <w:rFonts w:hint="eastAsia" w:ascii="宋体" w:hAnsi="宋体"/>
          <w:b/>
          <w:color w:val="000000"/>
          <w:sz w:val="22"/>
        </w:rPr>
        <w:t>评标细则</w:t>
      </w:r>
    </w:p>
    <w:p>
      <w:pPr>
        <w:pStyle w:val="21"/>
        <w:adjustRightInd w:val="0"/>
        <w:snapToGrid w:val="0"/>
        <w:spacing w:line="360" w:lineRule="exact"/>
        <w:ind w:firstLine="440" w:firstLineChars="200"/>
        <w:rPr>
          <w:rFonts w:hAnsi="宋体" w:cs="Calibri"/>
          <w:sz w:val="22"/>
          <w:szCs w:val="22"/>
        </w:rPr>
      </w:pPr>
      <w:r>
        <w:rPr>
          <w:rFonts w:hint="eastAsia" w:hAnsi="宋体" w:cs="Calibri"/>
          <w:sz w:val="22"/>
          <w:szCs w:val="22"/>
        </w:rPr>
        <w:t>本次评标采用综合评估法，评标委员会根据评审情况，对资信、技术、商务等方面进行评审。评标委员会根据评审情况，对各投标人的商务报价进行统一打分，对各投标人的资信及技术由评标委员会成员进行独立打分。所有分值均保留小数点后1位小数。若评标委员会的评分表中计分不在分值范围内的，则该评分表无效。</w:t>
      </w:r>
    </w:p>
    <w:p>
      <w:pPr>
        <w:pStyle w:val="21"/>
        <w:adjustRightInd w:val="0"/>
        <w:snapToGrid w:val="0"/>
        <w:spacing w:line="360" w:lineRule="exact"/>
        <w:ind w:firstLine="442" w:firstLineChars="200"/>
        <w:rPr>
          <w:rFonts w:hAnsi="宋体" w:cs="Calibri"/>
          <w:sz w:val="22"/>
          <w:szCs w:val="22"/>
        </w:rPr>
      </w:pPr>
      <w:r>
        <w:rPr>
          <w:rFonts w:hint="eastAsia" w:hAnsi="宋体"/>
          <w:b/>
          <w:color w:val="000000"/>
          <w:sz w:val="22"/>
          <w:szCs w:val="22"/>
        </w:rPr>
        <w:t>每个投标人最终得分=商务报价分+资信及技术分</w:t>
      </w:r>
    </w:p>
    <w:p>
      <w:pPr>
        <w:pStyle w:val="21"/>
        <w:adjustRightInd w:val="0"/>
        <w:snapToGrid w:val="0"/>
        <w:spacing w:line="360" w:lineRule="exact"/>
        <w:ind w:firstLine="440" w:firstLineChars="200"/>
        <w:rPr>
          <w:rFonts w:hAnsi="宋体" w:cs="Arial"/>
          <w:b/>
          <w:sz w:val="22"/>
          <w:szCs w:val="22"/>
        </w:rPr>
      </w:pPr>
      <w:r>
        <w:rPr>
          <w:rFonts w:hint="eastAsia" w:hAnsi="宋体" w:cs="Calibri"/>
          <w:sz w:val="22"/>
          <w:szCs w:val="22"/>
        </w:rPr>
        <w:t>3.3.1商务报价分（满分60分）</w:t>
      </w:r>
    </w:p>
    <w:p>
      <w:pPr>
        <w:pStyle w:val="21"/>
        <w:adjustRightInd w:val="0"/>
        <w:snapToGrid w:val="0"/>
        <w:spacing w:line="360" w:lineRule="exact"/>
        <w:ind w:firstLine="440" w:firstLineChars="200"/>
        <w:rPr>
          <w:rFonts w:hAnsi="宋体" w:cs="Calibri"/>
          <w:sz w:val="22"/>
          <w:szCs w:val="22"/>
        </w:rPr>
      </w:pPr>
      <w:r>
        <w:rPr>
          <w:rFonts w:hint="eastAsia" w:hAnsi="宋体" w:cs="Calibri"/>
          <w:sz w:val="22"/>
          <w:szCs w:val="22"/>
        </w:rPr>
        <w:t>报价评分应在投标报价响应招标文件要求的基础上，取所有有效投标报价的算术平均值作为评标基准价。</w:t>
      </w:r>
    </w:p>
    <w:p>
      <w:pPr>
        <w:pStyle w:val="21"/>
        <w:adjustRightInd w:val="0"/>
        <w:snapToGrid w:val="0"/>
        <w:spacing w:line="360" w:lineRule="exact"/>
        <w:ind w:firstLine="440" w:firstLineChars="200"/>
        <w:rPr>
          <w:rFonts w:hAnsi="宋体" w:cs="Calibri"/>
          <w:sz w:val="22"/>
          <w:szCs w:val="22"/>
        </w:rPr>
      </w:pPr>
      <w:r>
        <w:rPr>
          <w:rFonts w:hint="eastAsia" w:hAnsi="宋体" w:cs="Calibri"/>
          <w:sz w:val="22"/>
          <w:szCs w:val="22"/>
        </w:rPr>
        <w:t>投标人的投标价等于评标基准价的得60分，每高于评标基准价</w:t>
      </w:r>
      <w:r>
        <w:rPr>
          <w:rFonts w:hAnsi="宋体" w:cs="Calibri"/>
          <w:sz w:val="22"/>
          <w:szCs w:val="22"/>
        </w:rPr>
        <w:t>1%</w:t>
      </w:r>
      <w:r>
        <w:rPr>
          <w:rFonts w:hint="eastAsia" w:hAnsi="宋体" w:cs="Calibri"/>
          <w:sz w:val="22"/>
          <w:szCs w:val="22"/>
        </w:rPr>
        <w:t>的扣</w:t>
      </w:r>
      <w:r>
        <w:rPr>
          <w:rFonts w:hAnsi="宋体" w:cs="Calibri"/>
          <w:sz w:val="22"/>
          <w:szCs w:val="22"/>
        </w:rPr>
        <w:t>1</w:t>
      </w:r>
      <w:r>
        <w:rPr>
          <w:rFonts w:hint="eastAsia" w:hAnsi="宋体" w:cs="Calibri"/>
          <w:sz w:val="22"/>
          <w:szCs w:val="22"/>
        </w:rPr>
        <w:t>分，每低于评标基准价</w:t>
      </w:r>
      <w:r>
        <w:rPr>
          <w:rFonts w:hAnsi="宋体" w:cs="Calibri"/>
          <w:sz w:val="22"/>
          <w:szCs w:val="22"/>
        </w:rPr>
        <w:t>1%</w:t>
      </w:r>
      <w:r>
        <w:rPr>
          <w:rFonts w:hint="eastAsia" w:hAnsi="宋体" w:cs="Calibri"/>
          <w:sz w:val="22"/>
          <w:szCs w:val="22"/>
        </w:rPr>
        <w:t>的扣</w:t>
      </w:r>
      <w:r>
        <w:rPr>
          <w:rFonts w:hAnsi="宋体" w:cs="Calibri"/>
          <w:sz w:val="22"/>
          <w:szCs w:val="22"/>
        </w:rPr>
        <w:t>0.5</w:t>
      </w:r>
      <w:r>
        <w:rPr>
          <w:rFonts w:hint="eastAsia" w:hAnsi="宋体" w:cs="Calibri"/>
          <w:sz w:val="22"/>
          <w:szCs w:val="22"/>
        </w:rPr>
        <w:t>分（不足</w:t>
      </w:r>
      <w:r>
        <w:rPr>
          <w:rFonts w:hAnsi="宋体" w:cs="Calibri"/>
          <w:sz w:val="22"/>
          <w:szCs w:val="22"/>
        </w:rPr>
        <w:t>1</w:t>
      </w:r>
      <w:r>
        <w:rPr>
          <w:rFonts w:hint="eastAsia" w:hAnsi="宋体" w:cs="Calibri"/>
          <w:sz w:val="22"/>
          <w:szCs w:val="22"/>
        </w:rPr>
        <w:t>个百分点按插值法计算，小数点后保留二位，四舍五入，商务分最低得分为</w:t>
      </w:r>
      <w:r>
        <w:rPr>
          <w:rFonts w:hAnsi="宋体" w:cs="Calibri"/>
          <w:sz w:val="22"/>
          <w:szCs w:val="22"/>
        </w:rPr>
        <w:t>30</w:t>
      </w:r>
      <w:r>
        <w:rPr>
          <w:rFonts w:hint="eastAsia" w:hAnsi="宋体" w:cs="Calibri"/>
          <w:sz w:val="22"/>
          <w:szCs w:val="22"/>
        </w:rPr>
        <w:t>分）</w:t>
      </w:r>
    </w:p>
    <w:p>
      <w:pPr>
        <w:pStyle w:val="21"/>
        <w:adjustRightInd w:val="0"/>
        <w:snapToGrid w:val="0"/>
        <w:spacing w:line="360" w:lineRule="exact"/>
        <w:ind w:firstLine="440" w:firstLineChars="200"/>
        <w:rPr>
          <w:rFonts w:hAnsi="宋体" w:cs="Calibri"/>
          <w:sz w:val="22"/>
          <w:szCs w:val="22"/>
        </w:rPr>
      </w:pPr>
      <w:r>
        <w:rPr>
          <w:rFonts w:hint="eastAsia" w:hAnsi="宋体" w:cs="Calibri"/>
          <w:sz w:val="22"/>
          <w:szCs w:val="22"/>
        </w:rPr>
        <w:t>此项由评标委员会集体核实后统一打分。</w:t>
      </w:r>
    </w:p>
    <w:p>
      <w:pPr>
        <w:pStyle w:val="21"/>
        <w:adjustRightInd w:val="0"/>
        <w:snapToGrid w:val="0"/>
        <w:spacing w:line="360" w:lineRule="exact"/>
        <w:ind w:firstLine="440" w:firstLineChars="200"/>
        <w:rPr>
          <w:rFonts w:hAnsi="宋体" w:cs="Calibri"/>
          <w:sz w:val="22"/>
          <w:szCs w:val="22"/>
        </w:rPr>
      </w:pPr>
      <w:r>
        <w:rPr>
          <w:rFonts w:hint="eastAsia" w:hAnsi="宋体" w:cs="Calibri"/>
          <w:sz w:val="22"/>
          <w:szCs w:val="22"/>
        </w:rPr>
        <w:t>3.3.2 资信及技术评分（满分40分）</w:t>
      </w:r>
    </w:p>
    <w:p>
      <w:pPr>
        <w:pStyle w:val="21"/>
        <w:adjustRightInd w:val="0"/>
        <w:snapToGrid w:val="0"/>
        <w:spacing w:line="360" w:lineRule="exact"/>
        <w:ind w:firstLine="440" w:firstLineChars="200"/>
        <w:rPr>
          <w:rFonts w:hAnsi="宋体" w:cs="Calibri"/>
          <w:sz w:val="22"/>
          <w:szCs w:val="22"/>
        </w:rPr>
      </w:pPr>
      <w:r>
        <w:rPr>
          <w:rFonts w:hint="eastAsia" w:hAnsi="宋体" w:cs="Calibri"/>
          <w:sz w:val="22"/>
          <w:szCs w:val="22"/>
        </w:rPr>
        <w:t>该评分分值由评标委员会成员独立打分（具体分值设定详见下表），小数点后保留</w:t>
      </w:r>
      <w:r>
        <w:rPr>
          <w:rFonts w:hAnsi="宋体" w:cs="Calibri"/>
          <w:sz w:val="22"/>
          <w:szCs w:val="22"/>
        </w:rPr>
        <w:t>1</w:t>
      </w:r>
      <w:r>
        <w:rPr>
          <w:rFonts w:hint="eastAsia" w:hAnsi="宋体" w:cs="Calibri"/>
          <w:sz w:val="22"/>
          <w:szCs w:val="22"/>
        </w:rPr>
        <w:t>位小数。每个投标人的最终资信及技术得分为评标委员会打分的算术平均值（小数点后保留</w:t>
      </w:r>
      <w:r>
        <w:rPr>
          <w:rFonts w:hAnsi="宋体" w:cs="Calibri"/>
          <w:sz w:val="22"/>
          <w:szCs w:val="22"/>
        </w:rPr>
        <w:t>2</w:t>
      </w:r>
      <w:r>
        <w:rPr>
          <w:rFonts w:hint="eastAsia" w:hAnsi="宋体" w:cs="Calibri"/>
          <w:sz w:val="22"/>
          <w:szCs w:val="22"/>
        </w:rPr>
        <w:t>位，第三位四舍五入）。</w:t>
      </w:r>
    </w:p>
    <w:p>
      <w:pPr>
        <w:pStyle w:val="21"/>
        <w:ind w:firstLine="440" w:firstLineChars="200"/>
        <w:rPr>
          <w:rFonts w:hAnsi="宋体" w:cs="Calibri"/>
          <w:sz w:val="22"/>
          <w:szCs w:val="22"/>
        </w:rPr>
      </w:pPr>
      <w:r>
        <w:rPr>
          <w:rFonts w:hint="eastAsia" w:hAnsi="宋体" w:cs="Calibri"/>
          <w:sz w:val="22"/>
          <w:szCs w:val="22"/>
        </w:rPr>
        <w:t>资信及技术评分分值设定标准</w:t>
      </w:r>
    </w:p>
    <w:tbl>
      <w:tblPr>
        <w:tblStyle w:val="53"/>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701"/>
        <w:gridCol w:w="5670"/>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817" w:type="dxa"/>
          </w:tcPr>
          <w:p>
            <w:pPr>
              <w:pStyle w:val="21"/>
              <w:adjustRightInd w:val="0"/>
              <w:snapToGrid w:val="0"/>
              <w:spacing w:line="360" w:lineRule="exact"/>
              <w:jc w:val="center"/>
              <w:rPr>
                <w:rFonts w:hAnsi="宋体" w:cs="Courier New"/>
                <w:kern w:val="2"/>
                <w:sz w:val="21"/>
              </w:rPr>
            </w:pPr>
            <w:r>
              <w:rPr>
                <w:rFonts w:hint="eastAsia" w:hAnsi="宋体" w:cs="Courier New"/>
                <w:kern w:val="2"/>
                <w:sz w:val="21"/>
              </w:rPr>
              <w:t>序号</w:t>
            </w:r>
          </w:p>
        </w:tc>
        <w:tc>
          <w:tcPr>
            <w:tcW w:w="1701" w:type="dxa"/>
          </w:tcPr>
          <w:p>
            <w:pPr>
              <w:pStyle w:val="21"/>
              <w:adjustRightInd w:val="0"/>
              <w:snapToGrid w:val="0"/>
              <w:spacing w:line="360" w:lineRule="exact"/>
              <w:jc w:val="center"/>
              <w:rPr>
                <w:rFonts w:hAnsi="宋体" w:cs="Courier New"/>
                <w:kern w:val="2"/>
                <w:sz w:val="21"/>
              </w:rPr>
            </w:pPr>
            <w:r>
              <w:rPr>
                <w:rFonts w:hAnsi="宋体" w:cs="Courier New"/>
                <w:kern w:val="2"/>
                <w:sz w:val="21"/>
              </w:rPr>
              <w:t>评定项目</w:t>
            </w:r>
          </w:p>
        </w:tc>
        <w:tc>
          <w:tcPr>
            <w:tcW w:w="5670" w:type="dxa"/>
          </w:tcPr>
          <w:p>
            <w:pPr>
              <w:pStyle w:val="21"/>
              <w:adjustRightInd w:val="0"/>
              <w:snapToGrid w:val="0"/>
              <w:spacing w:line="360" w:lineRule="exact"/>
              <w:jc w:val="center"/>
              <w:rPr>
                <w:rFonts w:hAnsi="宋体" w:cs="Courier New"/>
                <w:kern w:val="2"/>
                <w:sz w:val="21"/>
              </w:rPr>
            </w:pPr>
            <w:r>
              <w:rPr>
                <w:rFonts w:hint="eastAsia" w:hAnsi="宋体" w:cs="Courier New"/>
                <w:kern w:val="2"/>
                <w:sz w:val="21"/>
              </w:rPr>
              <w:t>评分标准</w:t>
            </w:r>
          </w:p>
        </w:tc>
        <w:tc>
          <w:tcPr>
            <w:tcW w:w="1418" w:type="dxa"/>
          </w:tcPr>
          <w:p>
            <w:pPr>
              <w:pStyle w:val="21"/>
              <w:adjustRightInd w:val="0"/>
              <w:snapToGrid w:val="0"/>
              <w:spacing w:line="360" w:lineRule="exact"/>
              <w:jc w:val="center"/>
              <w:rPr>
                <w:rFonts w:hAnsi="宋体" w:cs="Courier New"/>
                <w:kern w:val="2"/>
                <w:sz w:val="21"/>
              </w:rPr>
            </w:pPr>
            <w:r>
              <w:rPr>
                <w:rFonts w:hAnsi="宋体" w:cs="Courier New"/>
                <w:kern w:val="2"/>
                <w:sz w:val="21"/>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817" w:type="dxa"/>
            <w:vAlign w:val="center"/>
          </w:tcPr>
          <w:p>
            <w:pPr>
              <w:widowControl/>
              <w:snapToGrid w:val="0"/>
              <w:spacing w:line="360" w:lineRule="exact"/>
              <w:jc w:val="center"/>
              <w:rPr>
                <w:rFonts w:cs="Calibri" w:asciiTheme="minorEastAsia" w:hAnsiTheme="minorEastAsia" w:eastAsiaTheme="minorEastAsia"/>
                <w:sz w:val="22"/>
              </w:rPr>
            </w:pPr>
            <w:r>
              <w:rPr>
                <w:rFonts w:hint="eastAsia" w:cs="Calibri" w:asciiTheme="minorEastAsia" w:hAnsiTheme="minorEastAsia" w:eastAsiaTheme="minorEastAsia"/>
                <w:sz w:val="22"/>
              </w:rPr>
              <w:t>1</w:t>
            </w:r>
          </w:p>
        </w:tc>
        <w:tc>
          <w:tcPr>
            <w:tcW w:w="1701" w:type="dxa"/>
            <w:vAlign w:val="center"/>
          </w:tcPr>
          <w:p>
            <w:pPr>
              <w:widowControl/>
              <w:snapToGrid w:val="0"/>
              <w:spacing w:line="360" w:lineRule="exact"/>
              <w:jc w:val="center"/>
              <w:rPr>
                <w:rFonts w:ascii="宋体" w:hAnsi="宋体"/>
                <w:sz w:val="22"/>
              </w:rPr>
            </w:pPr>
            <w:r>
              <w:rPr>
                <w:rFonts w:hint="eastAsia" w:ascii="宋体" w:hAnsi="宋体"/>
                <w:snapToGrid w:val="0"/>
                <w:kern w:val="0"/>
                <w:sz w:val="22"/>
              </w:rPr>
              <w:t>企业实力</w:t>
            </w:r>
          </w:p>
        </w:tc>
        <w:tc>
          <w:tcPr>
            <w:tcW w:w="5670" w:type="dxa"/>
          </w:tcPr>
          <w:p>
            <w:pPr>
              <w:widowControl/>
              <w:snapToGrid w:val="0"/>
              <w:spacing w:line="360" w:lineRule="exact"/>
              <w:rPr>
                <w:rFonts w:ascii="宋体" w:hAnsi="宋体" w:cs="宋体"/>
                <w:kern w:val="0"/>
                <w:sz w:val="22"/>
              </w:rPr>
            </w:pPr>
            <w:r>
              <w:rPr>
                <w:rFonts w:hint="eastAsia" w:ascii="宋体" w:hAnsi="宋体"/>
                <w:sz w:val="22"/>
              </w:rPr>
              <w:t>自</w:t>
            </w:r>
            <w:r>
              <w:rPr>
                <w:rFonts w:ascii="宋体" w:hAnsi="宋体"/>
                <w:sz w:val="22"/>
              </w:rPr>
              <w:t>2014年1月1日</w:t>
            </w:r>
            <w:r>
              <w:rPr>
                <w:rFonts w:hint="eastAsia" w:ascii="宋体" w:hAnsi="宋体"/>
                <w:sz w:val="22"/>
              </w:rPr>
              <w:t>至投标截止日</w:t>
            </w:r>
            <w:r>
              <w:rPr>
                <w:rFonts w:ascii="宋体" w:hAnsi="宋体"/>
                <w:sz w:val="22"/>
              </w:rPr>
              <w:t>，投标人</w:t>
            </w:r>
            <w:r>
              <w:rPr>
                <w:rFonts w:hint="eastAsia" w:ascii="宋体" w:hAnsi="宋体"/>
                <w:sz w:val="22"/>
              </w:rPr>
              <w:t>承担过</w:t>
            </w:r>
            <w:r>
              <w:rPr>
                <w:rFonts w:ascii="宋体" w:hAnsi="宋体"/>
                <w:sz w:val="22"/>
              </w:rPr>
              <w:t>航空物流</w:t>
            </w:r>
            <w:r>
              <w:rPr>
                <w:rFonts w:hint="eastAsia" w:ascii="宋体" w:hAnsi="宋体"/>
                <w:sz w:val="22"/>
              </w:rPr>
              <w:t>相关的前期研究、园区规划或方案</w:t>
            </w:r>
            <w:r>
              <w:rPr>
                <w:rFonts w:ascii="宋体" w:hAnsi="宋体"/>
                <w:sz w:val="22"/>
              </w:rPr>
              <w:t>设计业绩</w:t>
            </w:r>
            <w:r>
              <w:rPr>
                <w:rFonts w:hint="eastAsia" w:ascii="宋体" w:hAnsi="宋体"/>
                <w:sz w:val="22"/>
              </w:rPr>
              <w:t>的,第一个不得分，每增加一个得1</w:t>
            </w:r>
            <w:r>
              <w:rPr>
                <w:rFonts w:ascii="宋体" w:hAnsi="宋体"/>
                <w:sz w:val="22"/>
              </w:rPr>
              <w:t>分，本项最高分为</w:t>
            </w:r>
            <w:r>
              <w:rPr>
                <w:rFonts w:hint="eastAsia" w:ascii="宋体" w:hAnsi="宋体"/>
                <w:sz w:val="22"/>
              </w:rPr>
              <w:t>5</w:t>
            </w:r>
            <w:r>
              <w:rPr>
                <w:rFonts w:ascii="宋体" w:hAnsi="宋体"/>
                <w:sz w:val="22"/>
              </w:rPr>
              <w:t>分。（以合同签订时间为准，业绩证明材料包括：项目合同</w:t>
            </w:r>
            <w:r>
              <w:rPr>
                <w:rFonts w:hint="eastAsia" w:ascii="宋体" w:hAnsi="宋体"/>
                <w:sz w:val="22"/>
              </w:rPr>
              <w:t>复印件并加盖公章</w:t>
            </w:r>
            <w:r>
              <w:rPr>
                <w:rFonts w:ascii="宋体" w:hAnsi="宋体"/>
                <w:sz w:val="22"/>
              </w:rPr>
              <w:t>）</w:t>
            </w:r>
          </w:p>
        </w:tc>
        <w:tc>
          <w:tcPr>
            <w:tcW w:w="1418" w:type="dxa"/>
            <w:vAlign w:val="center"/>
          </w:tcPr>
          <w:p>
            <w:pPr>
              <w:widowControl/>
              <w:snapToGrid w:val="0"/>
              <w:spacing w:line="360" w:lineRule="exact"/>
              <w:jc w:val="center"/>
              <w:rPr>
                <w:rFonts w:ascii="宋体" w:hAnsi="宋体"/>
                <w:sz w:val="22"/>
              </w:rPr>
            </w:pPr>
            <w:r>
              <w:rPr>
                <w:rFonts w:hint="eastAsia" w:ascii="宋体" w:hAnsi="宋体" w:cs="宋体"/>
                <w:kern w:val="0"/>
                <w:sz w:val="22"/>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817"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exact"/>
              <w:jc w:val="center"/>
              <w:rPr>
                <w:rFonts w:cs="Calibri" w:asciiTheme="minorEastAsia" w:hAnsiTheme="minorEastAsia" w:eastAsiaTheme="minorEastAsia"/>
                <w:sz w:val="22"/>
              </w:rPr>
            </w:pPr>
            <w:r>
              <w:rPr>
                <w:rFonts w:hint="eastAsia" w:cs="Calibri" w:asciiTheme="minorEastAsia" w:hAnsiTheme="minorEastAsia" w:eastAsiaTheme="minorEastAsia"/>
                <w:sz w:val="22"/>
              </w:rPr>
              <w:t>2</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exact"/>
              <w:jc w:val="center"/>
              <w:rPr>
                <w:rFonts w:cs="Calibri" w:asciiTheme="minorEastAsia" w:hAnsiTheme="minorEastAsia" w:eastAsiaTheme="minorEastAsia"/>
                <w:sz w:val="22"/>
              </w:rPr>
            </w:pPr>
            <w:r>
              <w:rPr>
                <w:rFonts w:hint="eastAsia" w:cs="Calibri" w:asciiTheme="minorEastAsia" w:hAnsiTheme="minorEastAsia" w:eastAsiaTheme="minorEastAsia"/>
                <w:sz w:val="22"/>
              </w:rPr>
              <w:t>项目团队能力</w:t>
            </w:r>
          </w:p>
        </w:tc>
        <w:tc>
          <w:tcPr>
            <w:tcW w:w="5670" w:type="dxa"/>
            <w:tcBorders>
              <w:top w:val="single" w:color="auto" w:sz="4" w:space="0"/>
              <w:left w:val="single" w:color="auto" w:sz="4" w:space="0"/>
              <w:bottom w:val="single" w:color="auto" w:sz="4" w:space="0"/>
              <w:right w:val="single" w:color="auto" w:sz="4" w:space="0"/>
            </w:tcBorders>
          </w:tcPr>
          <w:p>
            <w:pPr>
              <w:snapToGrid w:val="0"/>
              <w:spacing w:line="360" w:lineRule="exact"/>
              <w:ind w:right="126" w:rightChars="60"/>
              <w:rPr>
                <w:rFonts w:ascii="宋体" w:hAnsi="宋体"/>
                <w:sz w:val="22"/>
              </w:rPr>
            </w:pPr>
            <w:r>
              <w:rPr>
                <w:rFonts w:hint="eastAsia" w:ascii="宋体" w:hAnsi="宋体"/>
                <w:sz w:val="22"/>
              </w:rPr>
              <w:t>（1）拟派项目负责人为高级工程师的得1</w:t>
            </w:r>
            <w:r>
              <w:rPr>
                <w:rFonts w:ascii="宋体" w:hAnsi="宋体"/>
                <w:sz w:val="22"/>
              </w:rPr>
              <w:t>分，教授级高级工程师</w:t>
            </w:r>
            <w:r>
              <w:rPr>
                <w:rFonts w:hint="eastAsia" w:ascii="宋体" w:hAnsi="宋体"/>
                <w:sz w:val="22"/>
              </w:rPr>
              <w:t>的得2</w:t>
            </w:r>
            <w:r>
              <w:rPr>
                <w:rFonts w:ascii="宋体" w:hAnsi="宋体"/>
                <w:sz w:val="22"/>
              </w:rPr>
              <w:t>分，</w:t>
            </w:r>
            <w:r>
              <w:rPr>
                <w:rFonts w:hint="eastAsia" w:ascii="宋体" w:hAnsi="宋体"/>
                <w:sz w:val="22"/>
              </w:rPr>
              <w:t>以下不得分。</w:t>
            </w:r>
            <w:r>
              <w:rPr>
                <w:rFonts w:ascii="宋体" w:hAnsi="宋体"/>
                <w:sz w:val="22"/>
              </w:rPr>
              <w:t>本项最高得分</w:t>
            </w:r>
            <w:r>
              <w:rPr>
                <w:rFonts w:hint="eastAsia" w:ascii="宋体" w:hAnsi="宋体"/>
                <w:sz w:val="22"/>
              </w:rPr>
              <w:t>2</w:t>
            </w:r>
            <w:r>
              <w:rPr>
                <w:rFonts w:ascii="宋体" w:hAnsi="宋体"/>
                <w:sz w:val="22"/>
              </w:rPr>
              <w:t>分</w:t>
            </w:r>
            <w:r>
              <w:rPr>
                <w:rFonts w:hint="eastAsia" w:ascii="宋体" w:hAnsi="宋体"/>
                <w:sz w:val="22"/>
              </w:rPr>
              <w:t>。</w:t>
            </w:r>
          </w:p>
          <w:p>
            <w:pPr>
              <w:snapToGrid w:val="0"/>
              <w:spacing w:line="360" w:lineRule="exact"/>
              <w:ind w:right="126" w:rightChars="60"/>
              <w:rPr>
                <w:rFonts w:ascii="宋体" w:hAnsi="宋体"/>
                <w:sz w:val="22"/>
              </w:rPr>
            </w:pPr>
            <w:r>
              <w:rPr>
                <w:rFonts w:hint="eastAsia" w:ascii="宋体" w:hAnsi="宋体"/>
                <w:sz w:val="22"/>
              </w:rPr>
              <w:t>（2）</w:t>
            </w:r>
            <w:r>
              <w:rPr>
                <w:rFonts w:ascii="宋体" w:hAnsi="宋体"/>
                <w:sz w:val="22"/>
              </w:rPr>
              <w:t>拟派项目负责人</w:t>
            </w:r>
            <w:r>
              <w:rPr>
                <w:rFonts w:hint="eastAsia" w:ascii="宋体" w:hAnsi="宋体"/>
                <w:sz w:val="22"/>
              </w:rPr>
              <w:t>作为项目负责人（主设计师）具有自</w:t>
            </w:r>
            <w:r>
              <w:rPr>
                <w:rFonts w:ascii="宋体" w:hAnsi="宋体"/>
                <w:sz w:val="22"/>
              </w:rPr>
              <w:t>201</w:t>
            </w:r>
            <w:r>
              <w:rPr>
                <w:rFonts w:hint="eastAsia" w:ascii="宋体" w:hAnsi="宋体"/>
                <w:sz w:val="22"/>
              </w:rPr>
              <w:t>4</w:t>
            </w:r>
            <w:r>
              <w:rPr>
                <w:rFonts w:ascii="宋体" w:hAnsi="宋体"/>
                <w:sz w:val="22"/>
              </w:rPr>
              <w:t>年1月1日</w:t>
            </w:r>
            <w:r>
              <w:rPr>
                <w:rFonts w:hint="eastAsia" w:ascii="宋体" w:hAnsi="宋体"/>
                <w:sz w:val="22"/>
              </w:rPr>
              <w:t>至投标截止日期间的</w:t>
            </w:r>
            <w:r>
              <w:rPr>
                <w:rFonts w:ascii="宋体" w:hAnsi="宋体"/>
                <w:sz w:val="22"/>
              </w:rPr>
              <w:t>货运吞吐量排名前10机场（201</w:t>
            </w:r>
            <w:r>
              <w:rPr>
                <w:rFonts w:hint="eastAsia" w:ascii="宋体" w:hAnsi="宋体"/>
                <w:sz w:val="22"/>
              </w:rPr>
              <w:t>8</w:t>
            </w:r>
            <w:r>
              <w:rPr>
                <w:rFonts w:ascii="宋体" w:hAnsi="宋体"/>
                <w:sz w:val="22"/>
              </w:rPr>
              <w:t>年民航局发布）的航空物流项目规划</w:t>
            </w:r>
            <w:r>
              <w:rPr>
                <w:rFonts w:hint="eastAsia" w:ascii="宋体" w:hAnsi="宋体"/>
                <w:sz w:val="22"/>
              </w:rPr>
              <w:t>或</w:t>
            </w:r>
            <w:r>
              <w:rPr>
                <w:rFonts w:ascii="宋体" w:hAnsi="宋体"/>
                <w:sz w:val="22"/>
              </w:rPr>
              <w:t>设计业绩的</w:t>
            </w:r>
            <w:r>
              <w:rPr>
                <w:rFonts w:hint="eastAsia" w:ascii="宋体" w:hAnsi="宋体"/>
                <w:sz w:val="22"/>
              </w:rPr>
              <w:t>，每增加一个项目加</w:t>
            </w:r>
            <w:r>
              <w:rPr>
                <w:rFonts w:ascii="宋体" w:hAnsi="宋体"/>
                <w:sz w:val="22"/>
              </w:rPr>
              <w:t>1分，最高得</w:t>
            </w:r>
            <w:r>
              <w:rPr>
                <w:rFonts w:hint="eastAsia" w:ascii="宋体" w:hAnsi="宋体"/>
                <w:sz w:val="22"/>
              </w:rPr>
              <w:t>3</w:t>
            </w:r>
            <w:r>
              <w:rPr>
                <w:rFonts w:ascii="宋体" w:hAnsi="宋体"/>
                <w:sz w:val="22"/>
              </w:rPr>
              <w:t>分；</w:t>
            </w:r>
            <w:r>
              <w:rPr>
                <w:rFonts w:hint="eastAsia" w:ascii="宋体" w:hAnsi="宋体"/>
                <w:sz w:val="22"/>
              </w:rPr>
              <w:t>其中主持过北京、上海、广州、深圳机场货运规划或设计的每个项目加</w:t>
            </w:r>
            <w:r>
              <w:rPr>
                <w:rFonts w:ascii="宋体" w:hAnsi="宋体"/>
                <w:sz w:val="22"/>
              </w:rPr>
              <w:t>2分，最高得4分。</w:t>
            </w:r>
            <w:r>
              <w:rPr>
                <w:rFonts w:hint="eastAsia" w:ascii="宋体" w:hAnsi="宋体"/>
                <w:sz w:val="22"/>
              </w:rPr>
              <w:t>可重复得分，</w:t>
            </w:r>
            <w:r>
              <w:rPr>
                <w:rFonts w:ascii="宋体" w:hAnsi="宋体"/>
                <w:sz w:val="22"/>
              </w:rPr>
              <w:t>本项最高得</w:t>
            </w:r>
            <w:r>
              <w:rPr>
                <w:rFonts w:hint="eastAsia" w:ascii="宋体" w:hAnsi="宋体"/>
                <w:sz w:val="22"/>
              </w:rPr>
              <w:t>7</w:t>
            </w:r>
            <w:r>
              <w:rPr>
                <w:rFonts w:ascii="宋体" w:hAnsi="宋体"/>
                <w:sz w:val="22"/>
              </w:rPr>
              <w:t>分。（以合同签订时间为准，业绩证明材料包括：项目合同、业主证明文件等，所有材料均需加盖用户公章）</w:t>
            </w:r>
            <w:r>
              <w:rPr>
                <w:rFonts w:hint="eastAsia" w:ascii="宋体" w:hAnsi="宋体"/>
                <w:sz w:val="22"/>
              </w:rPr>
              <w:t>。</w:t>
            </w:r>
          </w:p>
          <w:p>
            <w:pPr>
              <w:widowControl/>
              <w:snapToGrid w:val="0"/>
              <w:spacing w:line="360" w:lineRule="exact"/>
              <w:rPr>
                <w:rFonts w:ascii="宋体" w:hAnsi="宋体" w:cs="宋体"/>
                <w:kern w:val="0"/>
                <w:sz w:val="22"/>
              </w:rPr>
            </w:pPr>
            <w:r>
              <w:rPr>
                <w:rFonts w:hint="eastAsia" w:ascii="宋体" w:hAnsi="宋体"/>
                <w:sz w:val="22"/>
              </w:rPr>
              <w:t>（3）拟派项目团队人员从事航空货运规划或设计工作年限均在</w:t>
            </w:r>
            <w:r>
              <w:rPr>
                <w:rFonts w:ascii="宋体" w:hAnsi="宋体"/>
                <w:sz w:val="22"/>
              </w:rPr>
              <w:t>3年以上的</w:t>
            </w:r>
            <w:r>
              <w:rPr>
                <w:rFonts w:hint="eastAsia" w:ascii="宋体" w:hAnsi="宋体"/>
                <w:sz w:val="22"/>
              </w:rPr>
              <w:t>得1</w:t>
            </w:r>
            <w:r>
              <w:rPr>
                <w:rFonts w:ascii="宋体" w:hAnsi="宋体"/>
                <w:sz w:val="22"/>
              </w:rPr>
              <w:t>分；其中有团队人员专业工作年限在10年以上的每人加1分，</w:t>
            </w:r>
            <w:r>
              <w:rPr>
                <w:rFonts w:hint="eastAsia" w:ascii="宋体" w:hAnsi="宋体"/>
                <w:sz w:val="22"/>
              </w:rPr>
              <w:t>最高得2分。</w:t>
            </w:r>
            <w:r>
              <w:rPr>
                <w:rFonts w:ascii="宋体" w:hAnsi="宋体"/>
                <w:sz w:val="22"/>
              </w:rPr>
              <w:t>本项最高</w:t>
            </w:r>
            <w:r>
              <w:rPr>
                <w:rFonts w:hint="eastAsia" w:ascii="宋体" w:hAnsi="宋体"/>
                <w:sz w:val="22"/>
              </w:rPr>
              <w:t>3</w:t>
            </w:r>
            <w:r>
              <w:rPr>
                <w:rFonts w:ascii="宋体" w:hAnsi="宋体"/>
                <w:sz w:val="22"/>
              </w:rPr>
              <w:t>分。</w:t>
            </w:r>
            <w:r>
              <w:rPr>
                <w:rFonts w:hint="eastAsia" w:ascii="宋体" w:hAnsi="宋体"/>
                <w:sz w:val="22"/>
              </w:rPr>
              <w:t>（工作年限证明材料包括：项目合同、业主证明文件等，所有材料均需加盖用户公章）</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exact"/>
              <w:jc w:val="center"/>
              <w:rPr>
                <w:rFonts w:ascii="宋体" w:hAnsi="宋体" w:cs="宋体"/>
                <w:kern w:val="0"/>
                <w:sz w:val="22"/>
              </w:rPr>
            </w:pPr>
            <w:r>
              <w:rPr>
                <w:rFonts w:hint="eastAsia" w:ascii="宋体" w:hAnsi="宋体" w:cs="宋体"/>
                <w:kern w:val="0"/>
                <w:sz w:val="22"/>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817"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exact"/>
              <w:jc w:val="center"/>
              <w:rPr>
                <w:rFonts w:cs="Calibri" w:asciiTheme="minorEastAsia" w:hAnsiTheme="minorEastAsia" w:eastAsiaTheme="minorEastAsia"/>
                <w:sz w:val="22"/>
              </w:rPr>
            </w:pPr>
            <w:r>
              <w:rPr>
                <w:rFonts w:hint="eastAsia" w:cs="Calibri" w:asciiTheme="minorEastAsia" w:hAnsiTheme="minorEastAsia" w:eastAsiaTheme="minorEastAsia"/>
                <w:sz w:val="22"/>
              </w:rPr>
              <w:t>3</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exact"/>
              <w:jc w:val="center"/>
              <w:rPr>
                <w:rFonts w:cs="Calibri" w:asciiTheme="minorEastAsia" w:hAnsiTheme="minorEastAsia" w:eastAsiaTheme="minorEastAsia"/>
                <w:sz w:val="22"/>
              </w:rPr>
            </w:pPr>
            <w:r>
              <w:rPr>
                <w:rFonts w:hint="eastAsia" w:cs="Calibri" w:asciiTheme="minorEastAsia" w:hAnsiTheme="minorEastAsia" w:eastAsiaTheme="minorEastAsia"/>
                <w:sz w:val="22"/>
              </w:rPr>
              <w:t>方案设计能力</w:t>
            </w:r>
          </w:p>
        </w:tc>
        <w:tc>
          <w:tcPr>
            <w:tcW w:w="5670" w:type="dxa"/>
            <w:tcBorders>
              <w:top w:val="single" w:color="auto" w:sz="4" w:space="0"/>
              <w:left w:val="single" w:color="auto" w:sz="4" w:space="0"/>
              <w:bottom w:val="single" w:color="auto" w:sz="4" w:space="0"/>
              <w:right w:val="single" w:color="auto" w:sz="4" w:space="0"/>
            </w:tcBorders>
          </w:tcPr>
          <w:p>
            <w:pPr>
              <w:widowControl/>
              <w:snapToGrid w:val="0"/>
              <w:spacing w:line="360" w:lineRule="exact"/>
              <w:rPr>
                <w:rFonts w:ascii="宋体" w:hAnsi="宋体"/>
                <w:snapToGrid w:val="0"/>
                <w:kern w:val="0"/>
                <w:sz w:val="22"/>
              </w:rPr>
            </w:pPr>
            <w:r>
              <w:rPr>
                <w:rFonts w:hint="eastAsia" w:ascii="宋体" w:hAnsi="宋体"/>
                <w:snapToGrid w:val="0"/>
                <w:kern w:val="0"/>
                <w:sz w:val="22"/>
              </w:rPr>
              <w:t>根据投标人的投标文件技术部分的完整性、全面性进行评判。尤其是对用户要求的深刻理解，对用户需求的满足程度进行评判。具体为：</w:t>
            </w:r>
          </w:p>
          <w:p>
            <w:pPr>
              <w:widowControl/>
              <w:snapToGrid w:val="0"/>
              <w:spacing w:line="360" w:lineRule="exact"/>
              <w:rPr>
                <w:rFonts w:ascii="宋体" w:hAnsi="宋体"/>
                <w:snapToGrid w:val="0"/>
                <w:kern w:val="0"/>
                <w:sz w:val="22"/>
              </w:rPr>
            </w:pPr>
            <w:r>
              <w:rPr>
                <w:rFonts w:hint="eastAsia" w:ascii="宋体" w:hAnsi="宋体"/>
                <w:snapToGrid w:val="0"/>
                <w:kern w:val="0"/>
                <w:sz w:val="22"/>
              </w:rPr>
              <w:t>（1）对萧山机场现状货运问题及未来发展的分析和见解（0-3）</w:t>
            </w:r>
          </w:p>
          <w:p>
            <w:pPr>
              <w:widowControl/>
              <w:snapToGrid w:val="0"/>
              <w:spacing w:line="360" w:lineRule="exact"/>
              <w:rPr>
                <w:rFonts w:ascii="宋体" w:hAnsi="宋体"/>
                <w:snapToGrid w:val="0"/>
                <w:kern w:val="0"/>
                <w:sz w:val="22"/>
              </w:rPr>
            </w:pPr>
            <w:r>
              <w:rPr>
                <w:rFonts w:hint="eastAsia" w:ascii="宋体" w:hAnsi="宋体"/>
                <w:snapToGrid w:val="0"/>
                <w:kern w:val="0"/>
                <w:sz w:val="22"/>
              </w:rPr>
              <w:t>（2）萧山机场货运发展与临空经济发展的分析（0-5）</w:t>
            </w:r>
          </w:p>
          <w:p>
            <w:pPr>
              <w:widowControl/>
              <w:snapToGrid w:val="0"/>
              <w:spacing w:line="360" w:lineRule="exact"/>
              <w:rPr>
                <w:rFonts w:ascii="宋体" w:hAnsi="宋体"/>
                <w:snapToGrid w:val="0"/>
                <w:kern w:val="0"/>
                <w:sz w:val="22"/>
              </w:rPr>
            </w:pPr>
            <w:r>
              <w:rPr>
                <w:rFonts w:hint="eastAsia" w:ascii="宋体" w:hAnsi="宋体"/>
                <w:snapToGrid w:val="0"/>
                <w:kern w:val="0"/>
                <w:sz w:val="22"/>
              </w:rPr>
              <w:t>（3）国内货运站设计特点分析（0-5）</w:t>
            </w:r>
          </w:p>
          <w:p>
            <w:pPr>
              <w:widowControl/>
              <w:snapToGrid w:val="0"/>
              <w:spacing w:line="360" w:lineRule="exact"/>
              <w:rPr>
                <w:rFonts w:ascii="宋体" w:hAnsi="宋体"/>
                <w:snapToGrid w:val="0"/>
                <w:kern w:val="0"/>
                <w:sz w:val="22"/>
              </w:rPr>
            </w:pPr>
            <w:r>
              <w:rPr>
                <w:rFonts w:hint="eastAsia" w:ascii="宋体" w:hAnsi="宋体"/>
                <w:snapToGrid w:val="0"/>
                <w:kern w:val="0"/>
                <w:sz w:val="22"/>
              </w:rPr>
              <w:t>（4）国内货运站运作模式分析（0-5）</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exact"/>
              <w:jc w:val="center"/>
              <w:rPr>
                <w:rFonts w:ascii="宋体" w:hAnsi="宋体" w:cs="宋体"/>
                <w:kern w:val="0"/>
                <w:sz w:val="22"/>
              </w:rPr>
            </w:pPr>
            <w:r>
              <w:rPr>
                <w:rFonts w:hint="eastAsia" w:ascii="宋体" w:hAnsi="宋体" w:cs="宋体"/>
                <w:kern w:val="0"/>
                <w:sz w:val="22"/>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817"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exact"/>
              <w:jc w:val="center"/>
              <w:rPr>
                <w:rFonts w:cs="Calibri" w:asciiTheme="minorEastAsia" w:hAnsiTheme="minorEastAsia" w:eastAsiaTheme="minorEastAsia"/>
                <w:sz w:val="22"/>
              </w:rPr>
            </w:pPr>
            <w:r>
              <w:rPr>
                <w:rFonts w:hint="eastAsia" w:cs="Calibri" w:asciiTheme="minorEastAsia" w:hAnsiTheme="minorEastAsia" w:eastAsiaTheme="minorEastAsia"/>
                <w:sz w:val="22"/>
              </w:rPr>
              <w:t>4</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exact"/>
              <w:jc w:val="center"/>
              <w:rPr>
                <w:rFonts w:cs="Calibri" w:asciiTheme="minorEastAsia" w:hAnsiTheme="minorEastAsia" w:eastAsiaTheme="minorEastAsia"/>
                <w:sz w:val="22"/>
              </w:rPr>
            </w:pPr>
            <w:r>
              <w:rPr>
                <w:rFonts w:hint="eastAsia" w:cs="Calibri" w:asciiTheme="minorEastAsia" w:hAnsiTheme="minorEastAsia" w:eastAsiaTheme="minorEastAsia"/>
                <w:sz w:val="22"/>
              </w:rPr>
              <w:t>质量保障能力</w:t>
            </w:r>
          </w:p>
        </w:tc>
        <w:tc>
          <w:tcPr>
            <w:tcW w:w="5670" w:type="dxa"/>
            <w:tcBorders>
              <w:top w:val="single" w:color="auto" w:sz="4" w:space="0"/>
              <w:left w:val="single" w:color="auto" w:sz="4" w:space="0"/>
              <w:bottom w:val="single" w:color="auto" w:sz="4" w:space="0"/>
              <w:right w:val="single" w:color="auto" w:sz="4" w:space="0"/>
            </w:tcBorders>
          </w:tcPr>
          <w:p>
            <w:pPr>
              <w:widowControl/>
              <w:snapToGrid w:val="0"/>
              <w:spacing w:line="360" w:lineRule="exact"/>
              <w:rPr>
                <w:rFonts w:ascii="宋体" w:hAnsi="宋体"/>
                <w:snapToGrid w:val="0"/>
                <w:kern w:val="0"/>
                <w:sz w:val="22"/>
              </w:rPr>
            </w:pPr>
            <w:r>
              <w:rPr>
                <w:rFonts w:hint="eastAsia" w:ascii="宋体" w:hAnsi="宋体"/>
                <w:snapToGrid w:val="0"/>
                <w:kern w:val="0"/>
                <w:sz w:val="22"/>
              </w:rPr>
              <w:t>按技术要求和本工程的特点制定出详细的质量控制措施，详细具体、切实可行、目标明确。（0-3）</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exact"/>
              <w:jc w:val="center"/>
              <w:rPr>
                <w:rFonts w:ascii="宋体" w:hAnsi="宋体" w:cs="宋体"/>
                <w:kern w:val="0"/>
                <w:sz w:val="22"/>
              </w:rPr>
            </w:pPr>
            <w:r>
              <w:rPr>
                <w:rFonts w:hint="eastAsia" w:ascii="宋体" w:hAnsi="宋体" w:cs="宋体"/>
                <w:kern w:val="0"/>
                <w:sz w:val="22"/>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817"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exact"/>
              <w:jc w:val="center"/>
              <w:rPr>
                <w:rFonts w:cs="Calibri" w:asciiTheme="minorEastAsia" w:hAnsiTheme="minorEastAsia" w:eastAsiaTheme="minorEastAsia"/>
                <w:sz w:val="22"/>
              </w:rPr>
            </w:pPr>
            <w:r>
              <w:rPr>
                <w:rFonts w:hint="eastAsia" w:cs="Calibri" w:asciiTheme="minorEastAsia" w:hAnsiTheme="minorEastAsia" w:eastAsiaTheme="minorEastAsia"/>
                <w:sz w:val="22"/>
              </w:rPr>
              <w:t>5</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exact"/>
              <w:jc w:val="center"/>
              <w:rPr>
                <w:rFonts w:cs="Calibri" w:asciiTheme="minorEastAsia" w:hAnsiTheme="minorEastAsia" w:eastAsiaTheme="minorEastAsia"/>
                <w:sz w:val="22"/>
              </w:rPr>
            </w:pPr>
            <w:r>
              <w:rPr>
                <w:rFonts w:hint="eastAsia" w:cs="Calibri" w:asciiTheme="minorEastAsia" w:hAnsiTheme="minorEastAsia" w:eastAsiaTheme="minorEastAsia"/>
                <w:sz w:val="22"/>
              </w:rPr>
              <w:t>服务期</w:t>
            </w:r>
          </w:p>
        </w:tc>
        <w:tc>
          <w:tcPr>
            <w:tcW w:w="5670" w:type="dxa"/>
            <w:tcBorders>
              <w:top w:val="single" w:color="auto" w:sz="4" w:space="0"/>
              <w:left w:val="single" w:color="auto" w:sz="4" w:space="0"/>
              <w:bottom w:val="single" w:color="auto" w:sz="4" w:space="0"/>
              <w:right w:val="single" w:color="auto" w:sz="4" w:space="0"/>
            </w:tcBorders>
          </w:tcPr>
          <w:p>
            <w:pPr>
              <w:widowControl/>
              <w:snapToGrid w:val="0"/>
              <w:spacing w:line="360" w:lineRule="exact"/>
              <w:rPr>
                <w:rFonts w:ascii="宋体" w:hAnsi="宋体" w:cs="宋体"/>
                <w:kern w:val="0"/>
                <w:sz w:val="22"/>
              </w:rPr>
            </w:pPr>
            <w:r>
              <w:rPr>
                <w:rFonts w:hint="eastAsia" w:ascii="宋体" w:hAnsi="宋体" w:cs="宋体"/>
                <w:kern w:val="0"/>
                <w:sz w:val="22"/>
              </w:rPr>
              <w:t>服务期进度计划合理可行，服务期保证措施完善，能确保服务期目标的实现。（0-2）</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exact"/>
              <w:jc w:val="center"/>
              <w:rPr>
                <w:rFonts w:ascii="宋体" w:hAnsi="宋体" w:cs="宋体"/>
                <w:kern w:val="0"/>
                <w:sz w:val="22"/>
              </w:rPr>
            </w:pPr>
            <w:r>
              <w:rPr>
                <w:rFonts w:hint="eastAsia" w:ascii="宋体" w:hAnsi="宋体" w:cs="宋体"/>
                <w:kern w:val="0"/>
                <w:sz w:val="22"/>
              </w:rPr>
              <w:t>0-2</w:t>
            </w:r>
          </w:p>
        </w:tc>
      </w:tr>
    </w:tbl>
    <w:p>
      <w:pPr>
        <w:pStyle w:val="21"/>
        <w:spacing w:line="360" w:lineRule="exact"/>
        <w:ind w:firstLine="442" w:firstLineChars="200"/>
        <w:rPr>
          <w:rFonts w:hAnsi="宋体" w:cs="Calibri"/>
          <w:b/>
          <w:sz w:val="22"/>
          <w:szCs w:val="22"/>
        </w:rPr>
      </w:pPr>
      <w:r>
        <w:rPr>
          <w:rFonts w:hAnsi="宋体" w:cs="Calibri"/>
          <w:b/>
          <w:sz w:val="22"/>
          <w:szCs w:val="22"/>
        </w:rPr>
        <w:t>3.4推荐中标候选人</w:t>
      </w:r>
    </w:p>
    <w:p>
      <w:pPr>
        <w:pStyle w:val="21"/>
        <w:adjustRightInd w:val="0"/>
        <w:snapToGrid w:val="0"/>
        <w:spacing w:line="360" w:lineRule="exact"/>
        <w:ind w:firstLine="440" w:firstLineChars="200"/>
        <w:rPr>
          <w:rFonts w:hAnsi="宋体" w:cs="Calibri"/>
          <w:sz w:val="22"/>
          <w:szCs w:val="22"/>
        </w:rPr>
      </w:pPr>
      <w:r>
        <w:rPr>
          <w:rFonts w:hAnsi="宋体" w:cs="Calibri"/>
          <w:sz w:val="22"/>
          <w:szCs w:val="22"/>
        </w:rPr>
        <w:t>3.</w:t>
      </w:r>
      <w:r>
        <w:rPr>
          <w:rFonts w:hint="eastAsia" w:hAnsi="宋体" w:cs="Calibri"/>
          <w:sz w:val="22"/>
          <w:szCs w:val="22"/>
        </w:rPr>
        <w:t>4</w:t>
      </w:r>
      <w:r>
        <w:rPr>
          <w:rFonts w:hAnsi="宋体" w:cs="Calibri"/>
          <w:sz w:val="22"/>
          <w:szCs w:val="22"/>
        </w:rPr>
        <w:t>.1当有效投标文件大于等于二名时，评标委员会</w:t>
      </w:r>
      <w:r>
        <w:rPr>
          <w:rFonts w:hint="eastAsia" w:hAnsi="宋体" w:cs="Calibri"/>
          <w:sz w:val="22"/>
          <w:szCs w:val="22"/>
        </w:rPr>
        <w:t>得分最高、次高的投标人为中标候选人（如果得分相同则按投标人报价从低到高顺序推荐为中标候选人，如果投标报价也相同，则抽签决定）。</w:t>
      </w:r>
    </w:p>
    <w:p>
      <w:pPr>
        <w:pStyle w:val="21"/>
        <w:adjustRightInd w:val="0"/>
        <w:snapToGrid w:val="0"/>
        <w:spacing w:line="360" w:lineRule="exact"/>
        <w:ind w:firstLine="440" w:firstLineChars="200"/>
        <w:rPr>
          <w:rFonts w:hAnsi="宋体" w:cs="Calibri"/>
          <w:sz w:val="22"/>
          <w:szCs w:val="22"/>
        </w:rPr>
      </w:pPr>
      <w:r>
        <w:rPr>
          <w:rFonts w:hAnsi="宋体" w:cs="Calibri"/>
          <w:sz w:val="22"/>
          <w:szCs w:val="22"/>
        </w:rPr>
        <w:t>3.</w:t>
      </w:r>
      <w:r>
        <w:rPr>
          <w:rFonts w:hint="eastAsia" w:hAnsi="宋体" w:cs="Calibri"/>
          <w:sz w:val="22"/>
          <w:szCs w:val="22"/>
        </w:rPr>
        <w:t>4</w:t>
      </w:r>
      <w:r>
        <w:rPr>
          <w:rFonts w:hAnsi="宋体" w:cs="Calibri"/>
          <w:sz w:val="22"/>
          <w:szCs w:val="22"/>
        </w:rPr>
        <w:t>.</w:t>
      </w:r>
      <w:r>
        <w:rPr>
          <w:rFonts w:hint="eastAsia" w:hAnsi="宋体" w:cs="Calibri"/>
          <w:sz w:val="22"/>
          <w:szCs w:val="22"/>
        </w:rPr>
        <w:t>2</w:t>
      </w:r>
      <w:r>
        <w:rPr>
          <w:rFonts w:hAnsi="宋体" w:cs="Calibri"/>
          <w:sz w:val="22"/>
          <w:szCs w:val="22"/>
        </w:rPr>
        <w:t>当有效投标文件只有一名时，则由评标委员会确定是否推荐为中标候选人。</w:t>
      </w:r>
    </w:p>
    <w:p>
      <w:pPr>
        <w:pStyle w:val="21"/>
        <w:spacing w:line="360" w:lineRule="exact"/>
        <w:ind w:firstLine="442" w:firstLineChars="200"/>
        <w:rPr>
          <w:rFonts w:hAnsi="宋体" w:cs="Calibri"/>
          <w:b/>
          <w:sz w:val="22"/>
          <w:szCs w:val="22"/>
        </w:rPr>
      </w:pPr>
      <w:r>
        <w:rPr>
          <w:rFonts w:hAnsi="宋体" w:cs="Calibri"/>
          <w:b/>
          <w:sz w:val="22"/>
          <w:szCs w:val="22"/>
        </w:rPr>
        <w:t>3.</w:t>
      </w:r>
      <w:r>
        <w:rPr>
          <w:rFonts w:hint="eastAsia" w:hAnsi="宋体" w:cs="Calibri"/>
          <w:b/>
          <w:sz w:val="22"/>
          <w:szCs w:val="22"/>
        </w:rPr>
        <w:t>5</w:t>
      </w:r>
      <w:r>
        <w:rPr>
          <w:rFonts w:hAnsi="宋体" w:cs="Calibri"/>
          <w:b/>
          <w:sz w:val="22"/>
          <w:szCs w:val="22"/>
        </w:rPr>
        <w:t>评标报告</w:t>
      </w:r>
    </w:p>
    <w:p>
      <w:pPr>
        <w:pStyle w:val="21"/>
        <w:adjustRightInd w:val="0"/>
        <w:snapToGrid w:val="0"/>
        <w:spacing w:line="360" w:lineRule="exact"/>
        <w:ind w:firstLine="440" w:firstLineChars="200"/>
        <w:rPr>
          <w:rFonts w:hAnsi="宋体" w:cs="Calibri"/>
          <w:sz w:val="22"/>
          <w:szCs w:val="22"/>
        </w:rPr>
      </w:pPr>
      <w:r>
        <w:rPr>
          <w:rFonts w:hAnsi="宋体" w:cs="Calibri"/>
          <w:sz w:val="22"/>
          <w:szCs w:val="22"/>
        </w:rPr>
        <w:t>评标委员会完成评标后，应当向招标人提交书面评标报告。评标报告由评标委员会起草，按少数服从多数的原则通过。评标委员会全体成员应在评标报告上签字认可，评标专家如有保留意见可以在评标报告中阐明。</w:t>
      </w:r>
    </w:p>
    <w:p>
      <w:pPr>
        <w:pStyle w:val="21"/>
        <w:spacing w:line="360" w:lineRule="exact"/>
        <w:rPr>
          <w:rFonts w:hAnsi="宋体" w:cs="Calibri"/>
          <w:b/>
          <w:sz w:val="22"/>
          <w:szCs w:val="22"/>
        </w:rPr>
      </w:pPr>
      <w:r>
        <w:rPr>
          <w:rFonts w:hAnsi="宋体" w:cs="Calibri"/>
          <w:b/>
          <w:sz w:val="22"/>
          <w:szCs w:val="22"/>
        </w:rPr>
        <w:t>四、</w:t>
      </w:r>
      <w:r>
        <w:rPr>
          <w:rFonts w:hint="eastAsia" w:hAnsi="宋体" w:cs="Calibri"/>
          <w:b/>
          <w:sz w:val="22"/>
          <w:szCs w:val="22"/>
        </w:rPr>
        <w:t>定</w:t>
      </w:r>
      <w:r>
        <w:rPr>
          <w:rFonts w:hAnsi="宋体" w:cs="Calibri"/>
          <w:b/>
          <w:sz w:val="22"/>
          <w:szCs w:val="22"/>
        </w:rPr>
        <w:t>标</w:t>
      </w:r>
    </w:p>
    <w:p>
      <w:pPr>
        <w:pStyle w:val="21"/>
        <w:adjustRightInd w:val="0"/>
        <w:snapToGrid w:val="0"/>
        <w:spacing w:line="360" w:lineRule="exact"/>
        <w:ind w:firstLine="440" w:firstLineChars="200"/>
        <w:rPr>
          <w:rFonts w:hAnsi="宋体" w:cs="Calibri"/>
          <w:sz w:val="22"/>
          <w:szCs w:val="22"/>
        </w:rPr>
      </w:pPr>
      <w:r>
        <w:rPr>
          <w:rFonts w:hAnsi="宋体" w:cs="Calibri"/>
          <w:sz w:val="22"/>
          <w:szCs w:val="22"/>
        </w:rPr>
        <w:t>4.</w:t>
      </w:r>
      <w:r>
        <w:rPr>
          <w:rFonts w:hint="eastAsia" w:hAnsi="宋体" w:cs="Calibri"/>
          <w:sz w:val="22"/>
          <w:szCs w:val="22"/>
        </w:rPr>
        <w:t>1</w:t>
      </w:r>
      <w:r>
        <w:rPr>
          <w:rFonts w:hAnsi="宋体" w:cs="Calibri"/>
          <w:sz w:val="22"/>
          <w:szCs w:val="22"/>
        </w:rPr>
        <w:t>招标人将确定评标委员会推荐的</w:t>
      </w:r>
      <w:r>
        <w:rPr>
          <w:rFonts w:hint="eastAsia" w:hAnsi="宋体" w:cs="Calibri"/>
          <w:sz w:val="22"/>
          <w:szCs w:val="22"/>
        </w:rPr>
        <w:t>第一</w:t>
      </w:r>
      <w:r>
        <w:rPr>
          <w:rFonts w:hAnsi="宋体" w:cs="Calibri"/>
          <w:sz w:val="22"/>
          <w:szCs w:val="22"/>
        </w:rPr>
        <w:t>中标候选人为中标人。</w:t>
      </w:r>
      <w:r>
        <w:rPr>
          <w:rFonts w:hint="eastAsia" w:hAnsi="宋体" w:cs="Calibri"/>
          <w:sz w:val="22"/>
          <w:szCs w:val="22"/>
        </w:rPr>
        <w:t>第一</w:t>
      </w:r>
      <w:r>
        <w:rPr>
          <w:rFonts w:hAnsi="宋体" w:cs="Calibri"/>
          <w:sz w:val="22"/>
          <w:szCs w:val="22"/>
        </w:rPr>
        <w:t>中标候选人放弃中标、因不可抗力不能履行合同，或者被查实存在影响中标结果的违法行为等情形，不符合中标条件的，招标人可以在其他中标候选人中按照推荐的排序确定中标人</w:t>
      </w:r>
      <w:r>
        <w:rPr>
          <w:rFonts w:hint="eastAsia" w:hAnsi="宋体" w:cs="Calibri"/>
          <w:sz w:val="22"/>
          <w:szCs w:val="22"/>
        </w:rPr>
        <w:t>或</w:t>
      </w:r>
      <w:r>
        <w:rPr>
          <w:rFonts w:hAnsi="宋体" w:cs="Calibri"/>
          <w:sz w:val="22"/>
          <w:szCs w:val="22"/>
        </w:rPr>
        <w:t>重新招标。</w:t>
      </w:r>
    </w:p>
    <w:p>
      <w:pPr>
        <w:pStyle w:val="21"/>
        <w:adjustRightInd w:val="0"/>
        <w:snapToGrid w:val="0"/>
        <w:spacing w:line="360" w:lineRule="exact"/>
        <w:ind w:firstLine="440" w:firstLineChars="200"/>
        <w:rPr>
          <w:rFonts w:hAnsi="宋体" w:cs="Calibri"/>
          <w:sz w:val="22"/>
          <w:szCs w:val="22"/>
        </w:rPr>
      </w:pPr>
      <w:r>
        <w:rPr>
          <w:rFonts w:hint="eastAsia" w:hAnsi="宋体" w:cs="Calibri"/>
          <w:sz w:val="22"/>
          <w:szCs w:val="22"/>
        </w:rPr>
        <w:t>4.2</w:t>
      </w:r>
      <w:r>
        <w:rPr>
          <w:rFonts w:hAnsi="宋体" w:cs="Calibri"/>
          <w:sz w:val="22"/>
          <w:szCs w:val="22"/>
        </w:rPr>
        <w:t>中标候选人因不可抗力之外的原因放弃中标权的，必须按文件规定没收其投标保证金，没收的投标保证金不能弥补由于其放弃中标权而给招标人造成报价的差额部分，由放弃中标权的中标候选人承担。</w:t>
      </w:r>
    </w:p>
    <w:p>
      <w:pPr>
        <w:pStyle w:val="21"/>
        <w:adjustRightInd w:val="0"/>
        <w:snapToGrid w:val="0"/>
        <w:spacing w:line="360" w:lineRule="exact"/>
        <w:ind w:firstLine="440" w:firstLineChars="200"/>
        <w:rPr>
          <w:rFonts w:hAnsi="宋体" w:cs="Calibri"/>
          <w:sz w:val="22"/>
          <w:szCs w:val="22"/>
        </w:rPr>
      </w:pPr>
      <w:r>
        <w:rPr>
          <w:rFonts w:hAnsi="宋体" w:cs="Calibri"/>
          <w:sz w:val="22"/>
          <w:szCs w:val="22"/>
        </w:rPr>
        <w:t>4.</w:t>
      </w:r>
      <w:r>
        <w:rPr>
          <w:rFonts w:hint="eastAsia" w:hAnsi="宋体" w:cs="Calibri"/>
          <w:sz w:val="22"/>
          <w:szCs w:val="22"/>
        </w:rPr>
        <w:t>3</w:t>
      </w:r>
      <w:r>
        <w:rPr>
          <w:rFonts w:hAnsi="宋体" w:cs="Calibri"/>
          <w:sz w:val="22"/>
          <w:szCs w:val="22"/>
        </w:rPr>
        <w:t xml:space="preserve"> 如发生投诉争议等情况时，经查实中标候选人存在违法、违规行为，不符合中标条件，且该行为在评标时是无法发现和确认的，招标人可以在其他中标候选人中按照推荐的排序确定中标人</w:t>
      </w:r>
      <w:r>
        <w:rPr>
          <w:rFonts w:hint="eastAsia" w:hAnsi="宋体" w:cs="Calibri"/>
          <w:sz w:val="22"/>
          <w:szCs w:val="22"/>
        </w:rPr>
        <w:t>或</w:t>
      </w:r>
      <w:r>
        <w:rPr>
          <w:rFonts w:hAnsi="宋体" w:cs="Calibri"/>
          <w:sz w:val="22"/>
          <w:szCs w:val="22"/>
        </w:rPr>
        <w:t>重新招标。</w:t>
      </w:r>
    </w:p>
    <w:p>
      <w:pPr>
        <w:pStyle w:val="21"/>
        <w:adjustRightInd w:val="0"/>
        <w:snapToGrid w:val="0"/>
        <w:spacing w:line="360" w:lineRule="exact"/>
        <w:ind w:firstLine="440" w:firstLineChars="200"/>
        <w:rPr>
          <w:rFonts w:hAnsi="宋体"/>
        </w:rPr>
      </w:pPr>
      <w:r>
        <w:rPr>
          <w:rFonts w:hint="eastAsia" w:hAnsi="宋体" w:cs="Calibri"/>
          <w:sz w:val="22"/>
          <w:szCs w:val="22"/>
        </w:rPr>
        <w:t>4.4</w:t>
      </w:r>
      <w:r>
        <w:rPr>
          <w:rFonts w:hint="eastAsia" w:cs="Calibri" w:asciiTheme="minorEastAsia" w:hAnsiTheme="minorEastAsia" w:eastAsiaTheme="minorEastAsia"/>
          <w:color w:val="000000"/>
          <w:sz w:val="22"/>
        </w:rPr>
        <w:t>招标人对评标、定标结果不负责解释。</w:t>
      </w:r>
      <w:bookmarkEnd w:id="119"/>
    </w:p>
    <w:p>
      <w:pPr>
        <w:pStyle w:val="2"/>
        <w:spacing w:before="0" w:after="0" w:line="360" w:lineRule="auto"/>
        <w:jc w:val="center"/>
        <w:rPr>
          <w:rFonts w:ascii="Calibri" w:hAnsi="Calibri" w:eastAsia="黑体" w:cs="Calibri"/>
          <w:kern w:val="0"/>
          <w:sz w:val="32"/>
        </w:rPr>
      </w:pPr>
      <w:r>
        <w:br w:type="page"/>
      </w:r>
      <w:bookmarkStart w:id="120" w:name="_Toc448002988"/>
      <w:r>
        <w:rPr>
          <w:rFonts w:ascii="Calibri" w:hAnsi="Calibri" w:eastAsia="黑体" w:cs="Calibri"/>
          <w:kern w:val="0"/>
          <w:sz w:val="32"/>
        </w:rPr>
        <w:t>第</w:t>
      </w:r>
      <w:r>
        <w:rPr>
          <w:rFonts w:hint="eastAsia" w:ascii="Calibri" w:hAnsi="Calibri" w:eastAsia="黑体" w:cs="Calibri"/>
          <w:kern w:val="0"/>
          <w:sz w:val="32"/>
        </w:rPr>
        <w:t>六</w:t>
      </w:r>
      <w:r>
        <w:rPr>
          <w:rFonts w:ascii="Calibri" w:hAnsi="Calibri" w:eastAsia="黑体" w:cs="Calibri"/>
          <w:kern w:val="0"/>
          <w:sz w:val="32"/>
        </w:rPr>
        <w:t>章  投标文件格式</w:t>
      </w:r>
      <w:bookmarkEnd w:id="120"/>
    </w:p>
    <w:p>
      <w:pPr>
        <w:spacing w:line="440" w:lineRule="exact"/>
        <w:rPr>
          <w:rFonts w:cs="Calibri"/>
          <w:color w:val="000000"/>
          <w:sz w:val="24"/>
        </w:rPr>
      </w:pPr>
    </w:p>
    <w:p>
      <w:pPr>
        <w:spacing w:line="440" w:lineRule="exact"/>
        <w:jc w:val="center"/>
        <w:rPr>
          <w:rFonts w:cs="Calibri"/>
          <w:b/>
          <w:color w:val="000000"/>
          <w:sz w:val="28"/>
          <w:szCs w:val="28"/>
        </w:rPr>
      </w:pPr>
      <w:r>
        <w:rPr>
          <w:rFonts w:cs="Calibri"/>
          <w:b/>
          <w:color w:val="000000"/>
          <w:sz w:val="28"/>
          <w:szCs w:val="28"/>
        </w:rPr>
        <w:t>目   录</w:t>
      </w:r>
    </w:p>
    <w:p>
      <w:pPr>
        <w:spacing w:line="440" w:lineRule="exact"/>
        <w:ind w:firstLine="440" w:firstLineChars="200"/>
        <w:rPr>
          <w:rFonts w:ascii="宋体" w:hAnsi="宋体" w:cs="Calibri"/>
          <w:color w:val="000000"/>
          <w:sz w:val="22"/>
        </w:rPr>
      </w:pPr>
      <w:r>
        <w:rPr>
          <w:rFonts w:ascii="宋体" w:hAnsi="宋体" w:cs="Calibri"/>
          <w:color w:val="000000"/>
          <w:sz w:val="22"/>
        </w:rPr>
        <w:t>封面</w:t>
      </w:r>
    </w:p>
    <w:p>
      <w:pPr>
        <w:adjustRightInd w:val="0"/>
        <w:snapToGrid w:val="0"/>
        <w:spacing w:line="400" w:lineRule="exact"/>
        <w:ind w:firstLine="440" w:firstLineChars="200"/>
        <w:rPr>
          <w:rFonts w:cs="Calibri" w:asciiTheme="minorEastAsia" w:hAnsiTheme="minorEastAsia" w:eastAsiaTheme="minorEastAsia"/>
          <w:color w:val="000000"/>
          <w:sz w:val="22"/>
        </w:rPr>
      </w:pPr>
      <w:r>
        <w:rPr>
          <w:rFonts w:hint="eastAsia" w:cs="Calibri" w:asciiTheme="minorEastAsia" w:hAnsiTheme="minorEastAsia" w:eastAsiaTheme="minorEastAsia"/>
          <w:color w:val="000000"/>
          <w:sz w:val="22"/>
        </w:rPr>
        <w:t>一、</w:t>
      </w:r>
      <w:r>
        <w:rPr>
          <w:rFonts w:cs="Calibri" w:asciiTheme="minorEastAsia" w:hAnsiTheme="minorEastAsia" w:eastAsiaTheme="minorEastAsia"/>
          <w:color w:val="000000"/>
          <w:sz w:val="22"/>
        </w:rPr>
        <w:t>投标函；</w:t>
      </w:r>
    </w:p>
    <w:p>
      <w:pPr>
        <w:adjustRightInd w:val="0"/>
        <w:snapToGrid w:val="0"/>
        <w:spacing w:line="400" w:lineRule="exact"/>
        <w:ind w:firstLine="440" w:firstLineChars="200"/>
        <w:rPr>
          <w:rFonts w:cs="Calibri" w:asciiTheme="minorEastAsia" w:hAnsiTheme="minorEastAsia" w:eastAsiaTheme="minorEastAsia"/>
          <w:color w:val="000000"/>
          <w:sz w:val="22"/>
        </w:rPr>
      </w:pPr>
      <w:r>
        <w:rPr>
          <w:rFonts w:hint="eastAsia" w:cs="Calibri" w:asciiTheme="minorEastAsia" w:hAnsiTheme="minorEastAsia" w:eastAsiaTheme="minorEastAsia"/>
          <w:color w:val="000000"/>
          <w:sz w:val="22"/>
        </w:rPr>
        <w:t>二、</w:t>
      </w:r>
      <w:r>
        <w:rPr>
          <w:rFonts w:cs="Calibri" w:asciiTheme="minorEastAsia" w:hAnsiTheme="minorEastAsia" w:eastAsiaTheme="minorEastAsia"/>
          <w:color w:val="000000"/>
          <w:sz w:val="22"/>
        </w:rPr>
        <w:t>投标报价表；</w:t>
      </w:r>
    </w:p>
    <w:p>
      <w:pPr>
        <w:adjustRightInd w:val="0"/>
        <w:snapToGrid w:val="0"/>
        <w:spacing w:line="400" w:lineRule="exact"/>
        <w:ind w:firstLine="440" w:firstLineChars="200"/>
        <w:rPr>
          <w:rFonts w:cs="Calibri" w:asciiTheme="minorEastAsia" w:hAnsiTheme="minorEastAsia" w:eastAsiaTheme="minorEastAsia"/>
          <w:color w:val="000000"/>
          <w:sz w:val="22"/>
        </w:rPr>
      </w:pPr>
      <w:r>
        <w:rPr>
          <w:rFonts w:hint="eastAsia" w:cs="Calibri" w:asciiTheme="minorEastAsia" w:hAnsiTheme="minorEastAsia" w:eastAsiaTheme="minorEastAsia"/>
          <w:color w:val="000000"/>
          <w:sz w:val="22"/>
        </w:rPr>
        <w:t>三、</w:t>
      </w:r>
      <w:r>
        <w:rPr>
          <w:rFonts w:cs="Calibri" w:asciiTheme="minorEastAsia" w:hAnsiTheme="minorEastAsia" w:eastAsiaTheme="minorEastAsia"/>
          <w:color w:val="000000"/>
          <w:sz w:val="22"/>
        </w:rPr>
        <w:t>法定代表人资格证明书；</w:t>
      </w:r>
    </w:p>
    <w:p>
      <w:pPr>
        <w:adjustRightInd w:val="0"/>
        <w:snapToGrid w:val="0"/>
        <w:spacing w:line="400" w:lineRule="exact"/>
        <w:ind w:firstLine="440" w:firstLineChars="200"/>
        <w:rPr>
          <w:rFonts w:cs="Calibri" w:asciiTheme="minorEastAsia" w:hAnsiTheme="minorEastAsia" w:eastAsiaTheme="minorEastAsia"/>
          <w:color w:val="000000"/>
          <w:sz w:val="22"/>
        </w:rPr>
      </w:pPr>
      <w:r>
        <w:rPr>
          <w:rFonts w:hint="eastAsia" w:cs="Calibri" w:asciiTheme="minorEastAsia" w:hAnsiTheme="minorEastAsia" w:eastAsiaTheme="minorEastAsia"/>
          <w:color w:val="000000"/>
          <w:sz w:val="22"/>
        </w:rPr>
        <w:t>四、</w:t>
      </w:r>
      <w:r>
        <w:rPr>
          <w:rFonts w:cs="Calibri" w:asciiTheme="minorEastAsia" w:hAnsiTheme="minorEastAsia" w:eastAsiaTheme="minorEastAsia"/>
          <w:color w:val="000000"/>
          <w:sz w:val="22"/>
        </w:rPr>
        <w:t>授权委托书；</w:t>
      </w:r>
    </w:p>
    <w:p>
      <w:pPr>
        <w:adjustRightInd w:val="0"/>
        <w:snapToGrid w:val="0"/>
        <w:spacing w:line="400" w:lineRule="exact"/>
        <w:ind w:firstLine="440" w:firstLineChars="200"/>
        <w:rPr>
          <w:rFonts w:cs="Calibri" w:asciiTheme="minorEastAsia" w:hAnsiTheme="minorEastAsia" w:eastAsiaTheme="minorEastAsia"/>
          <w:color w:val="000000"/>
          <w:sz w:val="22"/>
        </w:rPr>
      </w:pPr>
      <w:r>
        <w:rPr>
          <w:rFonts w:hint="eastAsia" w:cs="Calibri" w:asciiTheme="minorEastAsia" w:hAnsiTheme="minorEastAsia" w:eastAsiaTheme="minorEastAsia"/>
          <w:color w:val="000000"/>
          <w:sz w:val="22"/>
        </w:rPr>
        <w:t>五、</w:t>
      </w:r>
      <w:r>
        <w:rPr>
          <w:rFonts w:cs="Calibri" w:asciiTheme="minorEastAsia" w:hAnsiTheme="minorEastAsia" w:eastAsiaTheme="minorEastAsia"/>
          <w:color w:val="000000"/>
          <w:sz w:val="22"/>
        </w:rPr>
        <w:t>投标人资格证明文件：</w:t>
      </w:r>
    </w:p>
    <w:p>
      <w:pPr>
        <w:adjustRightInd w:val="0"/>
        <w:snapToGrid w:val="0"/>
        <w:spacing w:line="40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（1）投标人一般情况</w:t>
      </w:r>
      <w:r>
        <w:rPr>
          <w:rFonts w:hint="eastAsia" w:cs="Calibri" w:asciiTheme="minorEastAsia" w:hAnsiTheme="minorEastAsia" w:eastAsiaTheme="minorEastAsia"/>
          <w:color w:val="000000"/>
          <w:sz w:val="22"/>
        </w:rPr>
        <w:t>及</w:t>
      </w:r>
      <w:r>
        <w:rPr>
          <w:rFonts w:cs="Calibri" w:asciiTheme="minorEastAsia" w:hAnsiTheme="minorEastAsia" w:eastAsiaTheme="minorEastAsia"/>
          <w:color w:val="000000"/>
          <w:sz w:val="22"/>
        </w:rPr>
        <w:t>有关证明投标人法律地位的文件（包括营业执照</w:t>
      </w:r>
      <w:r>
        <w:rPr>
          <w:rFonts w:hint="eastAsia" w:cs="Calibri" w:asciiTheme="minorEastAsia" w:hAnsiTheme="minorEastAsia" w:eastAsiaTheme="minorEastAsia"/>
          <w:color w:val="000000"/>
          <w:sz w:val="22"/>
        </w:rPr>
        <w:t>、</w:t>
      </w:r>
      <w:r>
        <w:rPr>
          <w:rFonts w:hint="eastAsia" w:ascii="宋体" w:hAnsi="宋体" w:cs="Calibri"/>
          <w:sz w:val="22"/>
        </w:rPr>
        <w:t>税务登记证、</w:t>
      </w:r>
      <w:r>
        <w:rPr>
          <w:rFonts w:ascii="宋体" w:hAnsi="宋体" w:cs="Calibri"/>
          <w:sz w:val="22"/>
        </w:rPr>
        <w:t>一般纳税人证明材料</w:t>
      </w:r>
      <w:r>
        <w:rPr>
          <w:rFonts w:hint="eastAsia" w:ascii="宋体" w:hAnsi="宋体" w:cs="Calibri"/>
          <w:sz w:val="22"/>
        </w:rPr>
        <w:t>、</w:t>
      </w:r>
      <w:r>
        <w:rPr>
          <w:rFonts w:cs="Calibri" w:asciiTheme="minorEastAsia" w:hAnsiTheme="minorEastAsia" w:eastAsiaTheme="minorEastAsia"/>
          <w:color w:val="000000"/>
          <w:sz w:val="22"/>
        </w:rPr>
        <w:t>资质</w:t>
      </w:r>
      <w:r>
        <w:rPr>
          <w:rFonts w:hint="eastAsia" w:cs="Calibri" w:asciiTheme="minorEastAsia" w:hAnsiTheme="minorEastAsia" w:eastAsiaTheme="minorEastAsia"/>
          <w:color w:val="000000"/>
          <w:sz w:val="22"/>
        </w:rPr>
        <w:t>证书</w:t>
      </w:r>
      <w:r>
        <w:rPr>
          <w:rFonts w:cs="Calibri" w:asciiTheme="minorEastAsia" w:hAnsiTheme="minorEastAsia" w:eastAsiaTheme="minorEastAsia"/>
          <w:color w:val="000000"/>
          <w:sz w:val="22"/>
        </w:rPr>
        <w:t>等），说明投标人的注册地点和主要经营范围；</w:t>
      </w:r>
    </w:p>
    <w:p>
      <w:pPr>
        <w:adjustRightInd w:val="0"/>
        <w:snapToGrid w:val="0"/>
        <w:spacing w:line="40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（2）有关证明投标人的企业信誉及获得各种奖励等资料；</w:t>
      </w:r>
    </w:p>
    <w:p>
      <w:pPr>
        <w:adjustRightInd w:val="0"/>
        <w:snapToGrid w:val="0"/>
        <w:spacing w:line="40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（3）投标人经济实力：包括企业注册资金、财务报告与报表中反映的财务状况</w:t>
      </w:r>
      <w:r>
        <w:rPr>
          <w:rFonts w:hint="eastAsia" w:cs="Calibri" w:asciiTheme="minorEastAsia" w:hAnsiTheme="minorEastAsia" w:eastAsiaTheme="minorEastAsia"/>
          <w:color w:val="000000"/>
          <w:sz w:val="22"/>
        </w:rPr>
        <w:t>；</w:t>
      </w:r>
    </w:p>
    <w:p>
      <w:pPr>
        <w:adjustRightInd w:val="0"/>
        <w:snapToGrid w:val="0"/>
        <w:spacing w:line="400" w:lineRule="exact"/>
        <w:ind w:firstLine="440" w:firstLineChars="200"/>
        <w:rPr>
          <w:rFonts w:cs="Calibri" w:asciiTheme="minorEastAsia" w:hAnsiTheme="minorEastAsia" w:eastAsiaTheme="minorEastAsia"/>
          <w:color w:val="000000"/>
          <w:sz w:val="22"/>
        </w:rPr>
      </w:pPr>
      <w:r>
        <w:rPr>
          <w:rFonts w:hint="eastAsia" w:cs="Calibri" w:asciiTheme="minorEastAsia" w:hAnsiTheme="minorEastAsia" w:eastAsiaTheme="minorEastAsia"/>
          <w:color w:val="000000"/>
          <w:sz w:val="22"/>
        </w:rPr>
        <w:t>（4）</w:t>
      </w:r>
      <w:r>
        <w:rPr>
          <w:rFonts w:cs="Calibri" w:asciiTheme="minorEastAsia" w:hAnsiTheme="minorEastAsia" w:eastAsiaTheme="minorEastAsia"/>
          <w:color w:val="000000"/>
          <w:sz w:val="22"/>
        </w:rPr>
        <w:t>近</w:t>
      </w:r>
      <w:r>
        <w:rPr>
          <w:rFonts w:hint="eastAsia" w:cs="Calibri" w:asciiTheme="minorEastAsia" w:hAnsiTheme="minorEastAsia" w:eastAsiaTheme="minorEastAsia"/>
          <w:color w:val="000000"/>
          <w:sz w:val="22"/>
        </w:rPr>
        <w:t>五</w:t>
      </w:r>
      <w:r>
        <w:rPr>
          <w:rFonts w:cs="Calibri" w:asciiTheme="minorEastAsia" w:hAnsiTheme="minorEastAsia" w:eastAsiaTheme="minorEastAsia"/>
          <w:color w:val="000000"/>
          <w:sz w:val="22"/>
        </w:rPr>
        <w:t>年完成类似项目业绩情况</w:t>
      </w:r>
      <w:r>
        <w:rPr>
          <w:rFonts w:hint="eastAsia" w:cs="Calibri" w:asciiTheme="minorEastAsia" w:hAnsiTheme="minorEastAsia" w:eastAsiaTheme="minorEastAsia"/>
          <w:color w:val="000000"/>
          <w:sz w:val="22"/>
        </w:rPr>
        <w:t>；</w:t>
      </w:r>
    </w:p>
    <w:p>
      <w:pPr>
        <w:adjustRightInd w:val="0"/>
        <w:snapToGrid w:val="0"/>
        <w:spacing w:line="400" w:lineRule="exact"/>
        <w:ind w:firstLine="440" w:firstLineChars="200"/>
        <w:rPr>
          <w:rFonts w:cs="Calibri" w:asciiTheme="minorEastAsia" w:hAnsiTheme="minorEastAsia" w:eastAsiaTheme="minorEastAsia"/>
          <w:color w:val="000000"/>
          <w:sz w:val="22"/>
        </w:rPr>
      </w:pPr>
      <w:r>
        <w:rPr>
          <w:rFonts w:hint="eastAsia" w:cs="Calibri" w:asciiTheme="minorEastAsia" w:hAnsiTheme="minorEastAsia" w:eastAsiaTheme="minorEastAsia"/>
          <w:color w:val="000000"/>
          <w:sz w:val="22"/>
        </w:rPr>
        <w:t>（5）招标文件投标人资格要求中提供的相关材料。</w:t>
      </w:r>
    </w:p>
    <w:p>
      <w:pPr>
        <w:adjustRightInd w:val="0"/>
        <w:snapToGrid w:val="0"/>
        <w:spacing w:line="400" w:lineRule="exact"/>
        <w:ind w:firstLine="440" w:firstLineChars="200"/>
        <w:rPr>
          <w:rFonts w:ascii="宋体" w:hAnsi="宋体" w:cs="Calibri"/>
          <w:color w:val="000000"/>
          <w:sz w:val="22"/>
        </w:rPr>
      </w:pPr>
      <w:r>
        <w:rPr>
          <w:rFonts w:hint="eastAsia" w:cs="Calibri" w:asciiTheme="minorEastAsia" w:hAnsiTheme="minorEastAsia" w:eastAsiaTheme="minorEastAsia"/>
          <w:color w:val="000000"/>
          <w:sz w:val="22"/>
        </w:rPr>
        <w:t>六、</w:t>
      </w:r>
      <w:r>
        <w:rPr>
          <w:rFonts w:ascii="宋体" w:hAnsi="宋体" w:cs="Calibri"/>
          <w:color w:val="000000"/>
          <w:sz w:val="22"/>
        </w:rPr>
        <w:t>服务大纲</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（1）本项目概况；</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（2）工作内容和依据；</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（3）</w:t>
      </w:r>
      <w:r>
        <w:rPr>
          <w:rFonts w:hint="eastAsia" w:cs="Calibri" w:asciiTheme="minorEastAsia" w:hAnsiTheme="minorEastAsia" w:eastAsiaTheme="minorEastAsia"/>
          <w:color w:val="000000"/>
          <w:sz w:val="22"/>
        </w:rPr>
        <w:t>现场机构、人力、物资设备配置</w:t>
      </w:r>
      <w:r>
        <w:rPr>
          <w:rFonts w:cs="Calibri" w:asciiTheme="minorEastAsia" w:hAnsiTheme="minorEastAsia" w:eastAsiaTheme="minorEastAsia"/>
          <w:color w:val="000000"/>
          <w:sz w:val="22"/>
        </w:rPr>
        <w:t>；</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（4）服务人员的作业安排和进场计划；</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（5）对本项目的实施</w:t>
      </w:r>
      <w:r>
        <w:rPr>
          <w:rFonts w:hint="eastAsia" w:cs="Calibri" w:asciiTheme="minorEastAsia" w:hAnsiTheme="minorEastAsia" w:eastAsiaTheme="minorEastAsia"/>
          <w:color w:val="000000"/>
          <w:sz w:val="22"/>
        </w:rPr>
        <w:t>方案、</w:t>
      </w:r>
      <w:r>
        <w:rPr>
          <w:rFonts w:cs="Calibri" w:asciiTheme="minorEastAsia" w:hAnsiTheme="minorEastAsia" w:eastAsiaTheme="minorEastAsia"/>
          <w:color w:val="000000"/>
          <w:sz w:val="22"/>
        </w:rPr>
        <w:t>意见及重点</w:t>
      </w:r>
      <w:r>
        <w:rPr>
          <w:rFonts w:hint="eastAsia" w:cs="Calibri" w:asciiTheme="minorEastAsia" w:hAnsiTheme="minorEastAsia" w:eastAsiaTheme="minorEastAsia"/>
          <w:color w:val="000000"/>
          <w:sz w:val="22"/>
        </w:rPr>
        <w:t>、</w:t>
      </w:r>
      <w:r>
        <w:rPr>
          <w:rFonts w:cs="Calibri" w:asciiTheme="minorEastAsia" w:hAnsiTheme="minorEastAsia" w:eastAsiaTheme="minorEastAsia"/>
          <w:color w:val="000000"/>
          <w:sz w:val="22"/>
        </w:rPr>
        <w:t>难点控制；</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cs="Calibri" w:asciiTheme="minorEastAsia" w:hAnsiTheme="minorEastAsia" w:eastAsiaTheme="minorEastAsia"/>
          <w:color w:val="000000"/>
          <w:sz w:val="22"/>
        </w:rPr>
        <w:t>（6）</w:t>
      </w:r>
      <w:r>
        <w:rPr>
          <w:rFonts w:hint="eastAsia" w:cs="Calibri" w:asciiTheme="minorEastAsia" w:hAnsiTheme="minorEastAsia" w:eastAsiaTheme="minorEastAsia"/>
          <w:color w:val="000000"/>
          <w:sz w:val="22"/>
        </w:rPr>
        <w:t>对特殊情况的承诺以及灾害性、突发事件的应急预案；</w:t>
      </w:r>
    </w:p>
    <w:p>
      <w:pPr>
        <w:adjustRightInd w:val="0"/>
        <w:snapToGrid w:val="0"/>
        <w:spacing w:line="360" w:lineRule="exact"/>
        <w:ind w:firstLine="440" w:firstLineChars="200"/>
        <w:rPr>
          <w:rFonts w:cs="Calibri" w:asciiTheme="minorEastAsia" w:hAnsiTheme="minorEastAsia" w:eastAsiaTheme="minorEastAsia"/>
          <w:color w:val="000000"/>
          <w:sz w:val="22"/>
        </w:rPr>
      </w:pPr>
      <w:r>
        <w:rPr>
          <w:rFonts w:hint="eastAsia" w:cs="Calibri" w:asciiTheme="minorEastAsia" w:hAnsiTheme="minorEastAsia" w:eastAsiaTheme="minorEastAsia"/>
          <w:color w:val="000000"/>
          <w:sz w:val="22"/>
        </w:rPr>
        <w:t>（7）</w:t>
      </w:r>
      <w:r>
        <w:rPr>
          <w:rFonts w:cs="Calibri" w:asciiTheme="minorEastAsia" w:hAnsiTheme="minorEastAsia" w:eastAsiaTheme="minorEastAsia"/>
          <w:color w:val="000000"/>
          <w:sz w:val="22"/>
        </w:rPr>
        <w:t>投入到本项目的项目负责人、其他人员的情况汇总表及业绩、经历、能力介绍、资格证明材料及人员到位率的承诺；</w:t>
      </w:r>
    </w:p>
    <w:p>
      <w:pPr>
        <w:adjustRightInd w:val="0"/>
        <w:snapToGrid w:val="0"/>
        <w:spacing w:line="400" w:lineRule="exact"/>
        <w:ind w:firstLine="440" w:firstLineChars="200"/>
        <w:rPr>
          <w:rFonts w:ascii="宋体" w:hAnsi="宋体" w:cs="Calibri"/>
          <w:color w:val="000000"/>
          <w:sz w:val="22"/>
        </w:rPr>
      </w:pPr>
      <w:r>
        <w:rPr>
          <w:rFonts w:hint="eastAsia" w:cs="Calibri" w:asciiTheme="minorEastAsia" w:hAnsiTheme="minorEastAsia" w:eastAsiaTheme="minorEastAsia"/>
          <w:color w:val="000000"/>
          <w:sz w:val="22"/>
        </w:rPr>
        <w:t>七、</w:t>
      </w:r>
      <w:r>
        <w:rPr>
          <w:rFonts w:hint="eastAsia" w:cs="Arial" w:asciiTheme="minorEastAsia" w:hAnsiTheme="minorEastAsia" w:eastAsiaTheme="minorEastAsia"/>
          <w:color w:val="000000"/>
          <w:sz w:val="22"/>
        </w:rPr>
        <w:t>投标人认为</w:t>
      </w:r>
      <w:r>
        <w:rPr>
          <w:rFonts w:cs="Arial" w:asciiTheme="minorEastAsia" w:hAnsiTheme="minorEastAsia" w:eastAsiaTheme="minorEastAsia"/>
          <w:color w:val="000000"/>
          <w:sz w:val="22"/>
        </w:rPr>
        <w:t>应该提供的其他材料</w:t>
      </w:r>
      <w:r>
        <w:rPr>
          <w:rFonts w:hint="eastAsia" w:cs="Arial" w:asciiTheme="minorEastAsia" w:hAnsiTheme="minorEastAsia" w:eastAsiaTheme="minorEastAsia"/>
          <w:color w:val="000000"/>
          <w:sz w:val="22"/>
        </w:rPr>
        <w:t>。</w:t>
      </w:r>
    </w:p>
    <w:p>
      <w:pPr>
        <w:rPr>
          <w:rFonts w:ascii="宋体" w:hAnsi="宋体" w:cs="Calibri"/>
          <w:sz w:val="22"/>
        </w:rPr>
      </w:pPr>
    </w:p>
    <w:p>
      <w:pPr>
        <w:spacing w:line="440" w:lineRule="exact"/>
        <w:rPr>
          <w:rFonts w:ascii="宋体" w:hAnsi="宋体" w:cs="Calibri"/>
          <w:color w:val="000000"/>
          <w:sz w:val="22"/>
        </w:rPr>
      </w:pPr>
    </w:p>
    <w:p>
      <w:pPr>
        <w:spacing w:line="440" w:lineRule="exact"/>
        <w:ind w:right="420"/>
        <w:rPr>
          <w:rFonts w:ascii="宋体" w:hAnsi="宋体" w:cs="Calibri"/>
          <w:color w:val="000000"/>
          <w:sz w:val="22"/>
        </w:rPr>
      </w:pPr>
      <w:r>
        <w:rPr>
          <w:rFonts w:hint="eastAsia" w:ascii="宋体" w:hAnsi="宋体" w:cs="Calibri"/>
          <w:color w:val="000000"/>
          <w:sz w:val="22"/>
        </w:rPr>
        <w:t>注：未提供格式的由投标人自行拟定格式。</w:t>
      </w:r>
    </w:p>
    <w:p>
      <w:pPr>
        <w:spacing w:line="440" w:lineRule="exact"/>
        <w:ind w:right="420"/>
        <w:rPr>
          <w:rFonts w:ascii="宋体" w:hAnsi="宋体" w:cs="Calibri"/>
          <w:color w:val="000000"/>
        </w:rPr>
      </w:pPr>
    </w:p>
    <w:p>
      <w:pPr>
        <w:spacing w:line="440" w:lineRule="exact"/>
        <w:ind w:right="420"/>
        <w:rPr>
          <w:rFonts w:cs="Calibri"/>
          <w:color w:val="000000"/>
        </w:rPr>
      </w:pPr>
    </w:p>
    <w:p>
      <w:pPr>
        <w:spacing w:line="440" w:lineRule="exact"/>
        <w:ind w:right="420"/>
        <w:jc w:val="right"/>
        <w:rPr>
          <w:rFonts w:cs="Calibri"/>
          <w:color w:val="000000"/>
        </w:rPr>
      </w:pPr>
      <w:r>
        <w:rPr>
          <w:rFonts w:cs="Calibri"/>
          <w:color w:val="000000"/>
        </w:rPr>
        <w:br w:type="page"/>
      </w:r>
      <w:r>
        <w:rPr>
          <w:rFonts w:cs="Calibri"/>
          <w:color w:val="000000"/>
        </w:rPr>
        <w:t>正本（或副本）</w:t>
      </w:r>
    </w:p>
    <w:p>
      <w:pPr>
        <w:spacing w:line="440" w:lineRule="exact"/>
        <w:rPr>
          <w:rFonts w:cs="Calibri"/>
          <w:color w:val="000000"/>
          <w:sz w:val="24"/>
          <w:u w:val="single"/>
        </w:rPr>
      </w:pPr>
      <w:bookmarkStart w:id="121" w:name="_Toc171421958"/>
      <w:r>
        <w:rPr>
          <w:rFonts w:cs="Calibri"/>
          <w:color w:val="000000"/>
        </w:rPr>
        <w:t>封面</w:t>
      </w:r>
      <w:bookmarkEnd w:id="121"/>
    </w:p>
    <w:p>
      <w:pPr>
        <w:autoSpaceDE w:val="0"/>
        <w:autoSpaceDN w:val="0"/>
        <w:adjustRightInd w:val="0"/>
        <w:jc w:val="center"/>
        <w:rPr>
          <w:rFonts w:cs="Calibri"/>
          <w:b/>
          <w:spacing w:val="20"/>
          <w:kern w:val="0"/>
          <w:sz w:val="48"/>
          <w:szCs w:val="48"/>
        </w:rPr>
      </w:pPr>
    </w:p>
    <w:p>
      <w:pPr>
        <w:autoSpaceDE w:val="0"/>
        <w:autoSpaceDN w:val="0"/>
        <w:adjustRightInd w:val="0"/>
        <w:jc w:val="center"/>
        <w:rPr>
          <w:rFonts w:eastAsia="黑体" w:cs="Calibri"/>
          <w:b/>
          <w:sz w:val="44"/>
          <w:szCs w:val="44"/>
        </w:rPr>
      </w:pPr>
      <w:r>
        <w:rPr>
          <w:rFonts w:hint="eastAsia" w:eastAsia="黑体" w:cs="Calibri"/>
          <w:b/>
          <w:sz w:val="44"/>
          <w:szCs w:val="44"/>
        </w:rPr>
        <w:t>杭州萧山国际机场</w:t>
      </w:r>
      <w:r>
        <w:rPr>
          <w:rFonts w:hint="eastAsia" w:eastAsia="黑体" w:cs="Calibri"/>
          <w:b/>
          <w:sz w:val="44"/>
          <w:szCs w:val="44"/>
          <w:u w:val="single"/>
        </w:rPr>
        <w:t xml:space="preserve">         </w:t>
      </w:r>
      <w:r>
        <w:rPr>
          <w:rFonts w:eastAsia="黑体" w:cs="Calibri"/>
          <w:b/>
          <w:sz w:val="44"/>
          <w:szCs w:val="44"/>
        </w:rPr>
        <w:t>项目</w:t>
      </w:r>
    </w:p>
    <w:p>
      <w:pPr>
        <w:spacing w:line="440" w:lineRule="exact"/>
        <w:rPr>
          <w:rFonts w:cs="Calibri"/>
          <w:color w:val="000000"/>
          <w:sz w:val="36"/>
          <w:szCs w:val="36"/>
        </w:rPr>
      </w:pPr>
    </w:p>
    <w:p>
      <w:pPr>
        <w:spacing w:line="440" w:lineRule="exact"/>
        <w:ind w:firstLine="480" w:firstLineChars="200"/>
        <w:jc w:val="center"/>
        <w:rPr>
          <w:rFonts w:cs="Calibri"/>
          <w:color w:val="000000"/>
          <w:sz w:val="24"/>
        </w:rPr>
      </w:pPr>
    </w:p>
    <w:p>
      <w:pPr>
        <w:spacing w:line="440" w:lineRule="exact"/>
        <w:rPr>
          <w:rFonts w:cs="Calibri"/>
          <w:color w:val="000000"/>
          <w:sz w:val="44"/>
          <w:szCs w:val="44"/>
        </w:rPr>
      </w:pPr>
    </w:p>
    <w:p>
      <w:pPr>
        <w:spacing w:before="480" w:beforeLines="200" w:after="480" w:afterLines="200" w:line="440" w:lineRule="exact"/>
        <w:jc w:val="center"/>
        <w:rPr>
          <w:rFonts w:cs="Calibri"/>
          <w:b/>
          <w:bCs/>
          <w:color w:val="000000"/>
          <w:sz w:val="84"/>
          <w:szCs w:val="84"/>
        </w:rPr>
      </w:pPr>
      <w:r>
        <w:rPr>
          <w:rFonts w:cs="Calibri"/>
          <w:b/>
          <w:bCs/>
          <w:color w:val="000000"/>
          <w:sz w:val="84"/>
          <w:szCs w:val="84"/>
        </w:rPr>
        <w:t>投标文件</w:t>
      </w:r>
    </w:p>
    <w:p>
      <w:pPr>
        <w:spacing w:line="440" w:lineRule="exact"/>
        <w:ind w:firstLine="480" w:firstLineChars="200"/>
        <w:jc w:val="center"/>
        <w:rPr>
          <w:rFonts w:cs="Calibri"/>
          <w:color w:val="000000"/>
          <w:sz w:val="24"/>
        </w:rPr>
      </w:pPr>
    </w:p>
    <w:p>
      <w:pPr>
        <w:spacing w:line="440" w:lineRule="exact"/>
        <w:ind w:firstLine="480" w:firstLineChars="200"/>
        <w:rPr>
          <w:rFonts w:cs="Calibri"/>
          <w:color w:val="000000"/>
          <w:sz w:val="24"/>
        </w:rPr>
      </w:pPr>
      <w:r>
        <w:rPr>
          <w:rFonts w:cs="Calibri"/>
          <w:color w:val="000000"/>
          <w:sz w:val="24"/>
        </w:rPr>
        <w:t xml:space="preserve">                  </w:t>
      </w:r>
    </w:p>
    <w:p>
      <w:pPr>
        <w:spacing w:line="440" w:lineRule="exact"/>
        <w:ind w:firstLine="480" w:firstLineChars="200"/>
        <w:jc w:val="center"/>
        <w:rPr>
          <w:rFonts w:cs="Calibri"/>
          <w:color w:val="000000"/>
          <w:sz w:val="24"/>
        </w:rPr>
      </w:pPr>
    </w:p>
    <w:p>
      <w:pPr>
        <w:spacing w:line="440" w:lineRule="exact"/>
        <w:ind w:firstLine="480" w:firstLineChars="200"/>
        <w:jc w:val="center"/>
        <w:rPr>
          <w:rFonts w:cs="Calibri"/>
          <w:color w:val="000000"/>
          <w:sz w:val="24"/>
        </w:rPr>
      </w:pPr>
    </w:p>
    <w:p>
      <w:pPr>
        <w:spacing w:line="440" w:lineRule="exact"/>
        <w:ind w:firstLine="480" w:firstLineChars="200"/>
        <w:jc w:val="center"/>
        <w:rPr>
          <w:rFonts w:cs="Calibri"/>
          <w:color w:val="000000"/>
          <w:sz w:val="24"/>
        </w:rPr>
      </w:pPr>
    </w:p>
    <w:p>
      <w:pPr>
        <w:spacing w:line="440" w:lineRule="exact"/>
        <w:ind w:firstLine="480" w:firstLineChars="200"/>
        <w:jc w:val="center"/>
        <w:rPr>
          <w:rFonts w:cs="Calibri"/>
          <w:color w:val="000000"/>
          <w:sz w:val="24"/>
        </w:rPr>
      </w:pPr>
    </w:p>
    <w:p>
      <w:pPr>
        <w:spacing w:line="440" w:lineRule="exact"/>
        <w:ind w:firstLine="480" w:firstLineChars="200"/>
        <w:jc w:val="center"/>
        <w:rPr>
          <w:rFonts w:cs="Calibri"/>
          <w:color w:val="000000"/>
          <w:sz w:val="24"/>
        </w:rPr>
      </w:pPr>
    </w:p>
    <w:p>
      <w:pPr>
        <w:spacing w:line="440" w:lineRule="exact"/>
        <w:ind w:firstLine="480" w:firstLineChars="200"/>
        <w:jc w:val="center"/>
        <w:rPr>
          <w:rFonts w:cs="Calibri"/>
          <w:color w:val="000000"/>
          <w:sz w:val="24"/>
        </w:rPr>
      </w:pPr>
    </w:p>
    <w:p>
      <w:pPr>
        <w:spacing w:line="440" w:lineRule="exact"/>
        <w:ind w:firstLine="480" w:firstLineChars="200"/>
        <w:jc w:val="center"/>
        <w:rPr>
          <w:rFonts w:cs="Calibri"/>
          <w:color w:val="000000"/>
          <w:sz w:val="24"/>
        </w:rPr>
      </w:pPr>
    </w:p>
    <w:p>
      <w:pPr>
        <w:spacing w:line="440" w:lineRule="exact"/>
        <w:ind w:firstLine="480" w:firstLineChars="200"/>
        <w:jc w:val="center"/>
        <w:rPr>
          <w:rFonts w:cs="Calibri"/>
          <w:color w:val="000000"/>
          <w:sz w:val="24"/>
        </w:rPr>
      </w:pPr>
    </w:p>
    <w:p>
      <w:pPr>
        <w:spacing w:line="440" w:lineRule="exact"/>
        <w:ind w:firstLine="480" w:firstLineChars="200"/>
        <w:jc w:val="center"/>
        <w:rPr>
          <w:rFonts w:cs="Calibri"/>
          <w:color w:val="000000"/>
          <w:sz w:val="24"/>
        </w:rPr>
      </w:pPr>
    </w:p>
    <w:p>
      <w:pPr>
        <w:spacing w:line="440" w:lineRule="exact"/>
        <w:ind w:firstLine="480" w:firstLineChars="200"/>
        <w:jc w:val="center"/>
        <w:rPr>
          <w:rFonts w:cs="Calibri"/>
          <w:color w:val="000000"/>
          <w:sz w:val="24"/>
        </w:rPr>
      </w:pPr>
    </w:p>
    <w:p>
      <w:pPr>
        <w:spacing w:line="360" w:lineRule="auto"/>
        <w:ind w:firstLine="1400" w:firstLineChars="500"/>
        <w:rPr>
          <w:rFonts w:cs="Calibri"/>
          <w:color w:val="000000"/>
          <w:sz w:val="28"/>
          <w:szCs w:val="28"/>
          <w:u w:val="single"/>
        </w:rPr>
      </w:pPr>
      <w:r>
        <w:rPr>
          <w:rFonts w:cs="Calibri"/>
          <w:color w:val="000000"/>
          <w:sz w:val="28"/>
          <w:szCs w:val="28"/>
        </w:rPr>
        <w:t>投标人：</w:t>
      </w:r>
      <w:r>
        <w:rPr>
          <w:rFonts w:cs="Calibri"/>
          <w:color w:val="000000"/>
          <w:sz w:val="28"/>
          <w:szCs w:val="28"/>
          <w:u w:val="single"/>
        </w:rPr>
        <w:t xml:space="preserve">                （盖单位章）           </w:t>
      </w:r>
    </w:p>
    <w:p>
      <w:pPr>
        <w:spacing w:line="360" w:lineRule="auto"/>
        <w:ind w:firstLine="1400" w:firstLineChars="500"/>
        <w:rPr>
          <w:rFonts w:cs="Calibri"/>
          <w:color w:val="000000"/>
          <w:sz w:val="28"/>
          <w:szCs w:val="28"/>
        </w:rPr>
      </w:pPr>
      <w:r>
        <w:rPr>
          <w:rFonts w:cs="Calibri"/>
          <w:color w:val="000000"/>
          <w:sz w:val="28"/>
          <w:szCs w:val="28"/>
        </w:rPr>
        <w:t>法定代表人或其委托代理人：</w:t>
      </w:r>
      <w:r>
        <w:rPr>
          <w:rFonts w:cs="Calibri"/>
          <w:color w:val="000000"/>
          <w:sz w:val="28"/>
          <w:szCs w:val="28"/>
          <w:u w:val="single"/>
        </w:rPr>
        <w:t xml:space="preserve">   （签字或盖章）   </w:t>
      </w:r>
    </w:p>
    <w:p>
      <w:pPr>
        <w:spacing w:line="360" w:lineRule="auto"/>
        <w:ind w:firstLine="1400" w:firstLineChars="500"/>
        <w:rPr>
          <w:rFonts w:cs="Calibri"/>
          <w:color w:val="000000"/>
          <w:sz w:val="28"/>
          <w:szCs w:val="28"/>
        </w:rPr>
      </w:pPr>
      <w:r>
        <w:rPr>
          <w:rFonts w:cs="Calibri"/>
          <w:color w:val="000000"/>
          <w:sz w:val="28"/>
          <w:szCs w:val="28"/>
        </w:rPr>
        <w:t>日  期：</w:t>
      </w:r>
      <w:r>
        <w:rPr>
          <w:rFonts w:cs="Calibri"/>
          <w:color w:val="000000"/>
          <w:sz w:val="28"/>
          <w:szCs w:val="28"/>
          <w:u w:val="single"/>
        </w:rPr>
        <w:t xml:space="preserve">        </w:t>
      </w:r>
      <w:r>
        <w:rPr>
          <w:rFonts w:cs="Calibri"/>
          <w:color w:val="000000"/>
          <w:sz w:val="28"/>
          <w:szCs w:val="28"/>
        </w:rPr>
        <w:t>年</w:t>
      </w:r>
      <w:r>
        <w:rPr>
          <w:rFonts w:cs="Calibri"/>
          <w:color w:val="000000"/>
          <w:sz w:val="28"/>
          <w:szCs w:val="28"/>
          <w:u w:val="single"/>
        </w:rPr>
        <w:t xml:space="preserve">         </w:t>
      </w:r>
      <w:r>
        <w:rPr>
          <w:rFonts w:cs="Calibri"/>
          <w:color w:val="000000"/>
          <w:sz w:val="28"/>
          <w:szCs w:val="28"/>
        </w:rPr>
        <w:t>月</w:t>
      </w:r>
      <w:r>
        <w:rPr>
          <w:rFonts w:cs="Calibri"/>
          <w:color w:val="000000"/>
          <w:sz w:val="28"/>
          <w:szCs w:val="28"/>
          <w:u w:val="single"/>
        </w:rPr>
        <w:t xml:space="preserve">        </w:t>
      </w:r>
      <w:r>
        <w:rPr>
          <w:rFonts w:cs="Calibri"/>
          <w:color w:val="000000"/>
          <w:sz w:val="28"/>
          <w:szCs w:val="28"/>
        </w:rPr>
        <w:t>日</w:t>
      </w:r>
    </w:p>
    <w:p>
      <w:pPr>
        <w:spacing w:line="360" w:lineRule="auto"/>
        <w:ind w:firstLine="1400" w:firstLineChars="500"/>
        <w:rPr>
          <w:rFonts w:cs="Calibri"/>
          <w:color w:val="000000"/>
          <w:sz w:val="28"/>
          <w:szCs w:val="28"/>
        </w:rPr>
      </w:pPr>
    </w:p>
    <w:p>
      <w:pPr>
        <w:spacing w:line="360" w:lineRule="auto"/>
        <w:jc w:val="center"/>
        <w:rPr>
          <w:rFonts w:eastAsia="黑体" w:cs="Calibri"/>
          <w:bCs/>
          <w:color w:val="000000"/>
          <w:sz w:val="32"/>
          <w:szCs w:val="32"/>
        </w:rPr>
      </w:pPr>
      <w:r>
        <w:rPr>
          <w:rFonts w:cs="Calibri"/>
          <w:color w:val="000000"/>
          <w:sz w:val="24"/>
        </w:rPr>
        <w:br w:type="page"/>
      </w:r>
      <w:r>
        <w:rPr>
          <w:rFonts w:eastAsia="黑体" w:cs="Calibri"/>
          <w:bCs/>
          <w:color w:val="000000"/>
          <w:sz w:val="32"/>
          <w:szCs w:val="32"/>
        </w:rPr>
        <w:t>一、投 标 函</w:t>
      </w:r>
    </w:p>
    <w:p>
      <w:pPr>
        <w:spacing w:line="440" w:lineRule="exact"/>
        <w:jc w:val="center"/>
        <w:rPr>
          <w:rFonts w:cs="Calibri"/>
          <w:b/>
          <w:bCs/>
          <w:color w:val="000000"/>
          <w:sz w:val="28"/>
          <w:szCs w:val="28"/>
        </w:rPr>
      </w:pPr>
    </w:p>
    <w:p>
      <w:pPr>
        <w:snapToGrid w:val="0"/>
        <w:spacing w:line="360" w:lineRule="auto"/>
        <w:rPr>
          <w:rFonts w:cs="Calibri" w:asciiTheme="minorEastAsia" w:hAnsiTheme="minorEastAsia" w:eastAsiaTheme="minorEastAsia"/>
          <w:b/>
          <w:bCs/>
          <w:sz w:val="24"/>
          <w:szCs w:val="24"/>
        </w:rPr>
      </w:pPr>
      <w:r>
        <w:rPr>
          <w:rFonts w:ascii="宋体" w:hAnsi="宋体"/>
          <w:sz w:val="24"/>
          <w:szCs w:val="24"/>
        </w:rPr>
        <w:t>致：</w:t>
      </w:r>
      <w:r>
        <w:rPr>
          <w:rFonts w:hint="eastAsia" w:ascii="宋体" w:hAnsi="宋体"/>
          <w:sz w:val="24"/>
          <w:szCs w:val="24"/>
        </w:rPr>
        <w:t>杭州萧山国际机场</w:t>
      </w:r>
      <w:r>
        <w:rPr>
          <w:rFonts w:ascii="宋体" w:hAnsi="宋体"/>
          <w:sz w:val="24"/>
          <w:szCs w:val="24"/>
        </w:rPr>
        <w:t>有限公司</w:t>
      </w:r>
    </w:p>
    <w:p>
      <w:pPr>
        <w:snapToGrid w:val="0"/>
        <w:spacing w:line="360" w:lineRule="auto"/>
        <w:ind w:firstLine="600" w:firstLineChars="250"/>
        <w:rPr>
          <w:rFonts w:cs="Calibri" w:asciiTheme="minorEastAsia" w:hAnsiTheme="minorEastAsia" w:eastAsiaTheme="minorEastAsia"/>
          <w:sz w:val="24"/>
        </w:rPr>
      </w:pPr>
      <w:r>
        <w:rPr>
          <w:rFonts w:cs="Calibri" w:asciiTheme="minorEastAsia" w:hAnsiTheme="minorEastAsia" w:eastAsiaTheme="minorEastAsia"/>
          <w:sz w:val="24"/>
        </w:rPr>
        <w:t>1、根据已收到的</w:t>
      </w:r>
      <w:r>
        <w:rPr>
          <w:rFonts w:cs="Calibri" w:asciiTheme="minorEastAsia" w:hAnsiTheme="minorEastAsia" w:eastAsiaTheme="minorEastAsia"/>
          <w:sz w:val="24"/>
          <w:u w:val="single"/>
        </w:rPr>
        <w:t xml:space="preserve">                           </w:t>
      </w:r>
      <w:r>
        <w:rPr>
          <w:rFonts w:cs="Calibri" w:asciiTheme="minorEastAsia" w:hAnsiTheme="minorEastAsia" w:eastAsiaTheme="minorEastAsia"/>
          <w:sz w:val="24"/>
        </w:rPr>
        <w:t>招标文件，遵照《中华人民共和国招标投标法》等有关规定，经考察现场和研究上述招标文件后，我方愿以投标总价</w:t>
      </w:r>
      <w:r>
        <w:rPr>
          <w:rFonts w:hint="eastAsia" w:cs="Calibri" w:asciiTheme="minorEastAsia" w:hAnsiTheme="minorEastAsia" w:eastAsiaTheme="minorEastAsia"/>
          <w:sz w:val="24"/>
        </w:rPr>
        <w:t>为</w:t>
      </w:r>
      <w:r>
        <w:rPr>
          <w:rFonts w:cs="Calibri" w:asciiTheme="minorEastAsia" w:hAnsiTheme="minorEastAsia" w:eastAsiaTheme="minorEastAsia"/>
          <w:sz w:val="24"/>
        </w:rPr>
        <w:t>人民币 (大写)：</w:t>
      </w:r>
      <w:r>
        <w:rPr>
          <w:rFonts w:cs="Calibri" w:asciiTheme="minorEastAsia" w:hAnsiTheme="minorEastAsia" w:eastAsiaTheme="minorEastAsia"/>
          <w:sz w:val="24"/>
          <w:u w:val="single"/>
        </w:rPr>
        <w:t xml:space="preserve">               </w:t>
      </w:r>
      <w:r>
        <w:rPr>
          <w:rFonts w:cs="Calibri" w:asciiTheme="minorEastAsia" w:hAnsiTheme="minorEastAsia" w:eastAsiaTheme="minorEastAsia"/>
          <w:sz w:val="24"/>
        </w:rPr>
        <w:t>元（RMB</w:t>
      </w:r>
      <w:r>
        <w:rPr>
          <w:rFonts w:cs="Calibri" w:asciiTheme="minorEastAsia" w:hAnsiTheme="minorEastAsia" w:eastAsiaTheme="minorEastAsia"/>
          <w:sz w:val="24"/>
          <w:u w:val="single"/>
        </w:rPr>
        <w:t xml:space="preserve">         </w:t>
      </w:r>
      <w:r>
        <w:rPr>
          <w:rFonts w:cs="Calibri" w:asciiTheme="minorEastAsia" w:hAnsiTheme="minorEastAsia" w:eastAsiaTheme="minorEastAsia"/>
          <w:sz w:val="24"/>
        </w:rPr>
        <w:t>元）报价并按上述招标文件要求承揽上述项目</w:t>
      </w:r>
      <w:r>
        <w:rPr>
          <w:rFonts w:hint="eastAsia" w:cs="Calibri" w:asciiTheme="minorEastAsia" w:hAnsiTheme="minorEastAsia" w:eastAsiaTheme="minorEastAsia"/>
          <w:bCs/>
          <w:sz w:val="24"/>
        </w:rPr>
        <w:t>所有</w:t>
      </w:r>
      <w:r>
        <w:rPr>
          <w:rFonts w:cs="Calibri" w:asciiTheme="minorEastAsia" w:hAnsiTheme="minorEastAsia" w:eastAsiaTheme="minorEastAsia"/>
          <w:bCs/>
          <w:sz w:val="24"/>
        </w:rPr>
        <w:t>等工作</w:t>
      </w:r>
      <w:r>
        <w:rPr>
          <w:rFonts w:cs="Calibri" w:asciiTheme="minorEastAsia" w:hAnsiTheme="minorEastAsia" w:eastAsiaTheme="minorEastAsia"/>
          <w:sz w:val="24"/>
          <w:szCs w:val="21"/>
        </w:rPr>
        <w:t>。</w:t>
      </w:r>
      <w:r>
        <w:rPr>
          <w:rFonts w:cs="Calibri" w:asciiTheme="minorEastAsia" w:hAnsiTheme="minorEastAsia" w:eastAsiaTheme="minorEastAsia"/>
          <w:sz w:val="24"/>
        </w:rPr>
        <w:t xml:space="preserve"> </w:t>
      </w:r>
    </w:p>
    <w:p>
      <w:pPr>
        <w:snapToGrid w:val="0"/>
        <w:spacing w:line="360" w:lineRule="auto"/>
        <w:ind w:firstLine="600" w:firstLineChars="250"/>
        <w:rPr>
          <w:rFonts w:cs="Calibri" w:asciiTheme="minorEastAsia" w:hAnsiTheme="minorEastAsia" w:eastAsiaTheme="minorEastAsia"/>
          <w:b/>
          <w:sz w:val="24"/>
        </w:rPr>
      </w:pPr>
      <w:r>
        <w:rPr>
          <w:rFonts w:cs="Calibri" w:asciiTheme="minorEastAsia" w:hAnsiTheme="minorEastAsia" w:eastAsiaTheme="minorEastAsia"/>
          <w:sz w:val="24"/>
        </w:rPr>
        <w:t>2、一旦我方中标，我方保证在</w:t>
      </w:r>
      <w:r>
        <w:rPr>
          <w:rFonts w:hint="eastAsia" w:cs="Calibri" w:asciiTheme="minorEastAsia" w:hAnsiTheme="minorEastAsia" w:eastAsiaTheme="minorEastAsia"/>
          <w:sz w:val="24"/>
        </w:rPr>
        <w:t>服务期</w:t>
      </w:r>
      <w:r>
        <w:rPr>
          <w:rFonts w:cs="Calibri" w:asciiTheme="minorEastAsia" w:hAnsiTheme="minorEastAsia" w:eastAsiaTheme="minorEastAsia"/>
          <w:sz w:val="24"/>
        </w:rPr>
        <w:t>内完成</w:t>
      </w:r>
      <w:r>
        <w:rPr>
          <w:rFonts w:hint="eastAsia" w:cs="Calibri" w:asciiTheme="minorEastAsia" w:hAnsiTheme="minorEastAsia" w:eastAsiaTheme="minorEastAsia"/>
          <w:sz w:val="24"/>
        </w:rPr>
        <w:t>全部</w:t>
      </w:r>
      <w:r>
        <w:rPr>
          <w:rFonts w:cs="Calibri" w:asciiTheme="minorEastAsia" w:hAnsiTheme="minorEastAsia" w:eastAsiaTheme="minorEastAsia"/>
          <w:bCs/>
          <w:sz w:val="24"/>
        </w:rPr>
        <w:t>工作</w:t>
      </w:r>
      <w:r>
        <w:rPr>
          <w:rFonts w:cs="Calibri" w:asciiTheme="minorEastAsia" w:hAnsiTheme="minorEastAsia" w:eastAsiaTheme="minorEastAsia"/>
          <w:sz w:val="24"/>
        </w:rPr>
        <w:t>。</w:t>
      </w:r>
    </w:p>
    <w:p>
      <w:pPr>
        <w:snapToGrid w:val="0"/>
        <w:spacing w:line="360" w:lineRule="auto"/>
        <w:rPr>
          <w:rFonts w:cs="Calibri" w:asciiTheme="minorEastAsia" w:hAnsiTheme="minorEastAsia" w:eastAsiaTheme="minorEastAsia"/>
          <w:sz w:val="24"/>
          <w:szCs w:val="20"/>
        </w:rPr>
      </w:pPr>
      <w:r>
        <w:rPr>
          <w:rFonts w:cs="Calibri" w:asciiTheme="minorEastAsia" w:hAnsiTheme="minorEastAsia" w:eastAsiaTheme="minorEastAsia"/>
          <w:sz w:val="24"/>
        </w:rPr>
        <w:t>　　 3、我方同意所递交的投标文件在“前附表”规定的投标有效期内有效，在此期间内我方的投标有可能中标，我方将受此约束。</w:t>
      </w:r>
    </w:p>
    <w:p>
      <w:pPr>
        <w:snapToGrid w:val="0"/>
        <w:spacing w:line="360" w:lineRule="auto"/>
        <w:rPr>
          <w:rFonts w:cs="Calibri" w:asciiTheme="minorEastAsia" w:hAnsiTheme="minorEastAsia" w:eastAsiaTheme="minorEastAsia"/>
          <w:sz w:val="24"/>
          <w:szCs w:val="20"/>
        </w:rPr>
      </w:pPr>
      <w:r>
        <w:rPr>
          <w:rFonts w:cs="Calibri" w:asciiTheme="minorEastAsia" w:hAnsiTheme="minorEastAsia" w:eastAsiaTheme="minorEastAsia"/>
          <w:sz w:val="24"/>
        </w:rPr>
        <w:t xml:space="preserve">     4、除非另外达成协议并生效，你方的中标通知书和本投标文件将构成约束我们双方的合同。</w:t>
      </w:r>
    </w:p>
    <w:p>
      <w:pPr>
        <w:snapToGrid w:val="0"/>
        <w:spacing w:line="360" w:lineRule="auto"/>
        <w:ind w:firstLine="600" w:firstLineChars="250"/>
        <w:rPr>
          <w:rFonts w:cs="Calibri" w:asciiTheme="minorEastAsia" w:hAnsiTheme="minorEastAsia" w:eastAsiaTheme="minorEastAsia"/>
          <w:sz w:val="24"/>
        </w:rPr>
      </w:pPr>
      <w:r>
        <w:rPr>
          <w:rFonts w:cs="Calibri" w:asciiTheme="minorEastAsia" w:hAnsiTheme="minorEastAsia" w:eastAsiaTheme="minorEastAsia"/>
          <w:sz w:val="24"/>
        </w:rPr>
        <w:t>5、一旦我方中标，我方保证按照招标文件的要求，按时签订</w:t>
      </w:r>
      <w:r>
        <w:rPr>
          <w:rFonts w:hint="eastAsia" w:cs="Calibri" w:asciiTheme="minorEastAsia" w:hAnsiTheme="minorEastAsia" w:eastAsiaTheme="minorEastAsia"/>
          <w:sz w:val="24"/>
        </w:rPr>
        <w:t>服务</w:t>
      </w:r>
      <w:r>
        <w:rPr>
          <w:rFonts w:cs="Calibri" w:asciiTheme="minorEastAsia" w:hAnsiTheme="minorEastAsia" w:eastAsiaTheme="minorEastAsia"/>
          <w:sz w:val="24"/>
        </w:rPr>
        <w:t>合同</w:t>
      </w:r>
      <w:r>
        <w:rPr>
          <w:rFonts w:hint="eastAsia" w:cs="Calibri" w:asciiTheme="minorEastAsia" w:hAnsiTheme="minorEastAsia" w:eastAsiaTheme="minorEastAsia"/>
          <w:sz w:val="24"/>
        </w:rPr>
        <w:t>，并</w:t>
      </w:r>
      <w:r>
        <w:rPr>
          <w:rFonts w:cs="Calibri" w:asciiTheme="minorEastAsia" w:hAnsiTheme="minorEastAsia" w:eastAsiaTheme="minorEastAsia"/>
          <w:sz w:val="24"/>
        </w:rPr>
        <w:t>全面履行</w:t>
      </w:r>
      <w:r>
        <w:rPr>
          <w:rFonts w:hint="eastAsia" w:cs="Calibri" w:asciiTheme="minorEastAsia" w:hAnsiTheme="minorEastAsia" w:eastAsiaTheme="minorEastAsia"/>
          <w:sz w:val="24"/>
        </w:rPr>
        <w:t>服务</w:t>
      </w:r>
      <w:r>
        <w:rPr>
          <w:rFonts w:cs="Calibri" w:asciiTheme="minorEastAsia" w:hAnsiTheme="minorEastAsia" w:eastAsiaTheme="minorEastAsia"/>
          <w:sz w:val="24"/>
        </w:rPr>
        <w:t>合同。</w:t>
      </w:r>
    </w:p>
    <w:p>
      <w:pPr>
        <w:snapToGrid w:val="0"/>
        <w:spacing w:line="360" w:lineRule="auto"/>
        <w:ind w:firstLine="600" w:firstLineChars="250"/>
        <w:rPr>
          <w:rFonts w:cs="Calibri" w:asciiTheme="minorEastAsia" w:hAnsiTheme="minorEastAsia" w:eastAsiaTheme="minorEastAsia"/>
          <w:sz w:val="24"/>
        </w:rPr>
      </w:pPr>
      <w:r>
        <w:rPr>
          <w:rFonts w:hint="eastAsia" w:cs="Calibri" w:asciiTheme="minorEastAsia" w:hAnsiTheme="minorEastAsia" w:eastAsiaTheme="minorEastAsia"/>
          <w:sz w:val="24"/>
        </w:rPr>
        <w:t>6、我方已详细审查全部招标文件，包括补充公告以及供参考的全部资料和有关附件（若有），我方完全理解并同意放弃对这方面有不明及误解的权力。</w:t>
      </w:r>
    </w:p>
    <w:p>
      <w:pPr>
        <w:snapToGrid w:val="0"/>
        <w:spacing w:line="360" w:lineRule="auto"/>
        <w:ind w:firstLine="600" w:firstLineChars="250"/>
        <w:rPr>
          <w:rFonts w:cs="Calibri" w:asciiTheme="minorEastAsia" w:hAnsiTheme="minorEastAsia" w:eastAsiaTheme="minorEastAsia"/>
          <w:sz w:val="24"/>
        </w:rPr>
      </w:pPr>
      <w:r>
        <w:rPr>
          <w:rFonts w:hint="eastAsia" w:cs="Calibri" w:asciiTheme="minorEastAsia" w:hAnsiTheme="minorEastAsia" w:eastAsiaTheme="minorEastAsia"/>
          <w:sz w:val="24"/>
        </w:rPr>
        <w:t>7、我方同意按照你方可能要求提供与投标有关的任何其他数据或资料，且完全理解贵方不一定接受最低价的投标或收到的任何投标，以及对评标和定标结果不负责解释。</w:t>
      </w:r>
    </w:p>
    <w:p>
      <w:pPr>
        <w:snapToGrid w:val="0"/>
        <w:spacing w:line="440" w:lineRule="exact"/>
        <w:rPr>
          <w:rFonts w:cs="Calibri" w:asciiTheme="minorEastAsia" w:hAnsiTheme="minorEastAsia" w:eastAsiaTheme="minorEastAsia"/>
          <w:color w:val="000000"/>
          <w:szCs w:val="21"/>
        </w:rPr>
      </w:pPr>
    </w:p>
    <w:p>
      <w:pPr>
        <w:snapToGrid w:val="0"/>
        <w:spacing w:line="440" w:lineRule="exact"/>
        <w:rPr>
          <w:rFonts w:cs="Calibri" w:asciiTheme="minorEastAsia" w:hAnsiTheme="minorEastAsia" w:eastAsiaTheme="minorEastAsia"/>
          <w:color w:val="000000"/>
          <w:szCs w:val="21"/>
        </w:rPr>
      </w:pPr>
    </w:p>
    <w:p>
      <w:pPr>
        <w:snapToGrid w:val="0"/>
        <w:spacing w:line="440" w:lineRule="exact"/>
        <w:rPr>
          <w:rFonts w:cs="Calibri" w:asciiTheme="minorEastAsia" w:hAnsiTheme="minorEastAsia" w:eastAsiaTheme="minorEastAsia"/>
          <w:color w:val="000000"/>
          <w:szCs w:val="21"/>
        </w:rPr>
      </w:pPr>
    </w:p>
    <w:p>
      <w:pPr>
        <w:snapToGrid w:val="0"/>
        <w:spacing w:line="440" w:lineRule="exact"/>
        <w:ind w:firstLine="3600" w:firstLineChars="1500"/>
        <w:rPr>
          <w:rFonts w:cs="Calibri" w:asciiTheme="minorEastAsia" w:hAnsiTheme="minorEastAsia" w:eastAsiaTheme="minorEastAsia"/>
          <w:color w:val="000000"/>
          <w:sz w:val="24"/>
        </w:rPr>
      </w:pPr>
      <w:r>
        <w:rPr>
          <w:rFonts w:cs="Calibri" w:asciiTheme="minorEastAsia" w:hAnsiTheme="minorEastAsia" w:eastAsiaTheme="minorEastAsia"/>
          <w:color w:val="000000"/>
          <w:sz w:val="24"/>
        </w:rPr>
        <w:t>投标人：（盖单位章）</w:t>
      </w:r>
    </w:p>
    <w:p>
      <w:pPr>
        <w:snapToGrid w:val="0"/>
        <w:spacing w:line="440" w:lineRule="exact"/>
        <w:ind w:firstLine="3600" w:firstLineChars="1500"/>
        <w:rPr>
          <w:rFonts w:cs="Calibri" w:asciiTheme="minorEastAsia" w:hAnsiTheme="minorEastAsia" w:eastAsiaTheme="minorEastAsia"/>
          <w:color w:val="000000"/>
          <w:sz w:val="24"/>
        </w:rPr>
      </w:pPr>
      <w:r>
        <w:rPr>
          <w:rFonts w:cs="Calibri" w:asciiTheme="minorEastAsia" w:hAnsiTheme="minorEastAsia" w:eastAsiaTheme="minorEastAsia"/>
          <w:color w:val="000000"/>
          <w:sz w:val="24"/>
        </w:rPr>
        <w:t>法定代表人或其委托代理人：（签字或盖章）</w:t>
      </w:r>
    </w:p>
    <w:p>
      <w:pPr>
        <w:snapToGrid w:val="0"/>
        <w:spacing w:line="440" w:lineRule="exact"/>
        <w:ind w:firstLine="3600" w:firstLineChars="1500"/>
        <w:rPr>
          <w:rFonts w:cs="Calibri" w:asciiTheme="minorEastAsia" w:hAnsiTheme="minorEastAsia" w:eastAsiaTheme="minorEastAsia"/>
          <w:color w:val="000000"/>
          <w:sz w:val="24"/>
        </w:rPr>
      </w:pPr>
      <w:r>
        <w:rPr>
          <w:rFonts w:cs="Calibri" w:asciiTheme="minorEastAsia" w:hAnsiTheme="minorEastAsia" w:eastAsiaTheme="minorEastAsia"/>
          <w:color w:val="000000"/>
          <w:sz w:val="24"/>
        </w:rPr>
        <w:t>地    址：</w:t>
      </w:r>
    </w:p>
    <w:p>
      <w:pPr>
        <w:snapToGrid w:val="0"/>
        <w:spacing w:line="440" w:lineRule="exact"/>
        <w:ind w:firstLine="3600" w:firstLineChars="1500"/>
        <w:rPr>
          <w:rFonts w:cs="Calibri" w:asciiTheme="minorEastAsia" w:hAnsiTheme="minorEastAsia" w:eastAsiaTheme="minorEastAsia"/>
          <w:color w:val="000000"/>
          <w:sz w:val="24"/>
        </w:rPr>
      </w:pPr>
      <w:r>
        <w:rPr>
          <w:rFonts w:cs="Calibri" w:asciiTheme="minorEastAsia" w:hAnsiTheme="minorEastAsia" w:eastAsiaTheme="minorEastAsia"/>
          <w:color w:val="000000"/>
          <w:sz w:val="24"/>
        </w:rPr>
        <w:t>邮政编码：</w:t>
      </w:r>
    </w:p>
    <w:p>
      <w:pPr>
        <w:snapToGrid w:val="0"/>
        <w:spacing w:line="440" w:lineRule="exact"/>
        <w:ind w:firstLine="3600" w:firstLineChars="1500"/>
        <w:rPr>
          <w:rFonts w:cs="Calibri" w:asciiTheme="minorEastAsia" w:hAnsiTheme="minorEastAsia" w:eastAsiaTheme="minorEastAsia"/>
          <w:color w:val="000000"/>
          <w:sz w:val="24"/>
        </w:rPr>
      </w:pPr>
      <w:r>
        <w:rPr>
          <w:rFonts w:cs="Calibri" w:asciiTheme="minorEastAsia" w:hAnsiTheme="minorEastAsia" w:eastAsiaTheme="minorEastAsia"/>
          <w:color w:val="000000"/>
          <w:sz w:val="24"/>
        </w:rPr>
        <w:t>电    话：</w:t>
      </w:r>
    </w:p>
    <w:p>
      <w:pPr>
        <w:snapToGrid w:val="0"/>
        <w:spacing w:line="440" w:lineRule="exact"/>
        <w:ind w:firstLine="3600" w:firstLineChars="1500"/>
        <w:rPr>
          <w:rFonts w:cs="Calibri" w:asciiTheme="minorEastAsia" w:hAnsiTheme="minorEastAsia" w:eastAsiaTheme="minorEastAsia"/>
          <w:color w:val="000000"/>
          <w:sz w:val="24"/>
        </w:rPr>
      </w:pPr>
      <w:r>
        <w:rPr>
          <w:rFonts w:cs="Calibri" w:asciiTheme="minorEastAsia" w:hAnsiTheme="minorEastAsia" w:eastAsiaTheme="minorEastAsia"/>
          <w:color w:val="000000"/>
          <w:sz w:val="24"/>
        </w:rPr>
        <w:t>传    真：</w:t>
      </w:r>
    </w:p>
    <w:p>
      <w:pPr>
        <w:snapToGrid w:val="0"/>
        <w:spacing w:line="440" w:lineRule="exact"/>
        <w:ind w:firstLine="3600" w:firstLineChars="1500"/>
        <w:rPr>
          <w:rFonts w:cs="Calibri" w:asciiTheme="minorEastAsia" w:hAnsiTheme="minorEastAsia" w:eastAsiaTheme="minorEastAsia"/>
          <w:color w:val="000000"/>
          <w:sz w:val="24"/>
        </w:rPr>
      </w:pPr>
      <w:r>
        <w:rPr>
          <w:rFonts w:cs="Calibri" w:asciiTheme="minorEastAsia" w:hAnsiTheme="minorEastAsia" w:eastAsiaTheme="minorEastAsia"/>
          <w:color w:val="000000"/>
          <w:sz w:val="24"/>
        </w:rPr>
        <w:t>开户银行：</w:t>
      </w:r>
    </w:p>
    <w:p>
      <w:pPr>
        <w:snapToGrid w:val="0"/>
        <w:spacing w:line="440" w:lineRule="exact"/>
        <w:ind w:firstLine="3600" w:firstLineChars="1500"/>
        <w:rPr>
          <w:rFonts w:cs="Calibri" w:asciiTheme="minorEastAsia" w:hAnsiTheme="minorEastAsia" w:eastAsiaTheme="minorEastAsia"/>
          <w:color w:val="000000"/>
          <w:sz w:val="24"/>
        </w:rPr>
      </w:pPr>
      <w:r>
        <w:rPr>
          <w:rFonts w:cs="Calibri" w:asciiTheme="minorEastAsia" w:hAnsiTheme="minorEastAsia" w:eastAsiaTheme="minorEastAsia"/>
          <w:color w:val="000000"/>
          <w:sz w:val="24"/>
        </w:rPr>
        <w:t>账    号：</w:t>
      </w:r>
    </w:p>
    <w:p>
      <w:pPr>
        <w:snapToGrid w:val="0"/>
        <w:spacing w:line="440" w:lineRule="exact"/>
        <w:ind w:firstLine="3600" w:firstLineChars="1500"/>
        <w:rPr>
          <w:rFonts w:eastAsia="黑体" w:cs="Calibri"/>
          <w:color w:val="000000"/>
          <w:sz w:val="32"/>
          <w:szCs w:val="32"/>
        </w:rPr>
      </w:pPr>
      <w:r>
        <w:rPr>
          <w:rFonts w:cs="Calibri" w:asciiTheme="minorEastAsia" w:hAnsiTheme="minorEastAsia" w:eastAsiaTheme="minorEastAsia"/>
          <w:color w:val="000000"/>
          <w:sz w:val="24"/>
        </w:rPr>
        <w:t>日    期：    年     月     日</w:t>
      </w:r>
      <w:r>
        <w:rPr>
          <w:rFonts w:eastAsia="黑体" w:cs="Calibri"/>
          <w:color w:val="000000"/>
          <w:sz w:val="32"/>
          <w:szCs w:val="32"/>
        </w:rPr>
        <w:br w:type="page"/>
      </w:r>
    </w:p>
    <w:p>
      <w:pPr>
        <w:adjustRightInd w:val="0"/>
        <w:snapToGrid w:val="0"/>
        <w:jc w:val="center"/>
        <w:rPr>
          <w:rFonts w:eastAsia="黑体" w:cs="Calibri"/>
          <w:color w:val="000000"/>
          <w:sz w:val="32"/>
          <w:szCs w:val="32"/>
        </w:rPr>
      </w:pPr>
      <w:r>
        <w:rPr>
          <w:rFonts w:hint="eastAsia" w:eastAsia="黑体" w:cs="Calibri"/>
          <w:color w:val="000000"/>
          <w:sz w:val="32"/>
          <w:szCs w:val="32"/>
        </w:rPr>
        <w:t>二</w:t>
      </w:r>
      <w:r>
        <w:rPr>
          <w:rFonts w:eastAsia="黑体" w:cs="Calibri"/>
          <w:color w:val="000000"/>
          <w:sz w:val="32"/>
          <w:szCs w:val="32"/>
        </w:rPr>
        <w:t>、法定代表人身份证明</w:t>
      </w:r>
    </w:p>
    <w:p>
      <w:pPr>
        <w:spacing w:after="120" w:afterLines="50" w:line="440" w:lineRule="exact"/>
        <w:rPr>
          <w:rFonts w:cs="Calibri"/>
          <w:color w:val="000000"/>
          <w:sz w:val="24"/>
        </w:rPr>
      </w:pPr>
    </w:p>
    <w:p>
      <w:pPr>
        <w:spacing w:after="120" w:afterLines="50" w:line="440" w:lineRule="exact"/>
        <w:rPr>
          <w:rFonts w:cs="Calibri"/>
          <w:color w:val="000000"/>
          <w:szCs w:val="21"/>
          <w:u w:val="single"/>
        </w:rPr>
      </w:pPr>
      <w:r>
        <w:rPr>
          <w:rFonts w:cs="Calibri"/>
          <w:color w:val="000000"/>
          <w:szCs w:val="21"/>
        </w:rPr>
        <w:t>投标人名称：</w:t>
      </w:r>
      <w:r>
        <w:rPr>
          <w:rFonts w:cs="Calibri"/>
          <w:color w:val="000000"/>
          <w:szCs w:val="21"/>
          <w:u w:val="single"/>
        </w:rPr>
        <w:t xml:space="preserve">                                  </w:t>
      </w:r>
    </w:p>
    <w:p>
      <w:pPr>
        <w:spacing w:after="120" w:afterLines="50" w:line="440" w:lineRule="exact"/>
        <w:rPr>
          <w:rFonts w:cs="Calibri"/>
          <w:color w:val="000000"/>
          <w:szCs w:val="21"/>
          <w:u w:val="single"/>
        </w:rPr>
      </w:pPr>
      <w:r>
        <w:rPr>
          <w:rFonts w:cs="Calibri"/>
          <w:color w:val="000000"/>
          <w:szCs w:val="21"/>
        </w:rPr>
        <w:t>单位性质：</w:t>
      </w:r>
      <w:r>
        <w:rPr>
          <w:rFonts w:cs="Calibri"/>
          <w:color w:val="000000"/>
          <w:szCs w:val="21"/>
          <w:u w:val="single"/>
        </w:rPr>
        <w:t xml:space="preserve">                                    </w:t>
      </w:r>
    </w:p>
    <w:p>
      <w:pPr>
        <w:spacing w:after="120" w:afterLines="50" w:line="440" w:lineRule="exact"/>
        <w:rPr>
          <w:rFonts w:cs="Calibri"/>
          <w:color w:val="000000"/>
          <w:szCs w:val="21"/>
          <w:u w:val="single"/>
        </w:rPr>
      </w:pPr>
      <w:r>
        <w:rPr>
          <w:rFonts w:cs="Calibri"/>
          <w:color w:val="000000"/>
          <w:szCs w:val="21"/>
        </w:rPr>
        <w:t>地址：</w:t>
      </w:r>
      <w:r>
        <w:rPr>
          <w:rFonts w:cs="Calibri"/>
          <w:color w:val="000000"/>
          <w:szCs w:val="21"/>
          <w:u w:val="single"/>
        </w:rPr>
        <w:t xml:space="preserve">                                        </w:t>
      </w:r>
    </w:p>
    <w:p>
      <w:pPr>
        <w:spacing w:after="120" w:afterLines="50" w:line="440" w:lineRule="exact"/>
        <w:rPr>
          <w:rFonts w:cs="Calibri"/>
          <w:color w:val="000000"/>
          <w:szCs w:val="21"/>
          <w:u w:val="single"/>
        </w:rPr>
      </w:pPr>
      <w:r>
        <w:rPr>
          <w:rFonts w:cs="Calibri"/>
          <w:color w:val="000000"/>
          <w:szCs w:val="21"/>
        </w:rPr>
        <w:t>成立时间：</w:t>
      </w:r>
      <w:r>
        <w:rPr>
          <w:rFonts w:cs="Calibri"/>
          <w:color w:val="000000"/>
          <w:szCs w:val="21"/>
          <w:u w:val="single"/>
        </w:rPr>
        <w:t xml:space="preserve">          </w:t>
      </w:r>
      <w:r>
        <w:rPr>
          <w:rFonts w:cs="Calibri"/>
          <w:color w:val="000000"/>
          <w:szCs w:val="21"/>
        </w:rPr>
        <w:t>年</w:t>
      </w:r>
      <w:r>
        <w:rPr>
          <w:rFonts w:cs="Calibri"/>
          <w:color w:val="000000"/>
          <w:szCs w:val="21"/>
          <w:u w:val="single"/>
        </w:rPr>
        <w:t xml:space="preserve">           </w:t>
      </w:r>
      <w:r>
        <w:rPr>
          <w:rFonts w:cs="Calibri"/>
          <w:color w:val="000000"/>
          <w:szCs w:val="21"/>
        </w:rPr>
        <w:t>月</w:t>
      </w:r>
      <w:r>
        <w:rPr>
          <w:rFonts w:cs="Calibri"/>
          <w:color w:val="000000"/>
          <w:szCs w:val="21"/>
          <w:u w:val="single"/>
        </w:rPr>
        <w:t xml:space="preserve">           </w:t>
      </w:r>
      <w:r>
        <w:rPr>
          <w:rFonts w:cs="Calibri"/>
          <w:color w:val="000000"/>
          <w:szCs w:val="21"/>
        </w:rPr>
        <w:t>日</w:t>
      </w:r>
    </w:p>
    <w:p>
      <w:pPr>
        <w:spacing w:after="120" w:afterLines="50" w:line="440" w:lineRule="exact"/>
        <w:rPr>
          <w:rFonts w:cs="Calibri"/>
          <w:color w:val="000000"/>
          <w:szCs w:val="21"/>
          <w:u w:val="single"/>
        </w:rPr>
      </w:pPr>
      <w:r>
        <w:rPr>
          <w:rFonts w:cs="Calibri"/>
          <w:color w:val="000000"/>
          <w:szCs w:val="21"/>
        </w:rPr>
        <w:t>经营期限：</w:t>
      </w:r>
      <w:r>
        <w:rPr>
          <w:rFonts w:cs="Calibri"/>
          <w:color w:val="000000"/>
          <w:szCs w:val="21"/>
          <w:u w:val="single"/>
        </w:rPr>
        <w:t xml:space="preserve">                                     </w:t>
      </w:r>
    </w:p>
    <w:p>
      <w:pPr>
        <w:spacing w:after="120" w:afterLines="50" w:line="440" w:lineRule="exact"/>
        <w:rPr>
          <w:rFonts w:cs="Calibri"/>
          <w:color w:val="000000"/>
          <w:szCs w:val="21"/>
          <w:u w:val="single"/>
        </w:rPr>
      </w:pPr>
      <w:r>
        <w:rPr>
          <w:rFonts w:cs="Calibri"/>
          <w:color w:val="000000"/>
          <w:szCs w:val="21"/>
        </w:rPr>
        <w:t>姓名：</w:t>
      </w:r>
      <w:r>
        <w:rPr>
          <w:rFonts w:cs="Calibri"/>
          <w:color w:val="000000"/>
          <w:szCs w:val="21"/>
          <w:u w:val="single"/>
        </w:rPr>
        <w:t xml:space="preserve">         </w:t>
      </w:r>
      <w:r>
        <w:rPr>
          <w:rFonts w:cs="Calibri"/>
          <w:color w:val="000000"/>
          <w:szCs w:val="21"/>
        </w:rPr>
        <w:t xml:space="preserve">  性别：</w:t>
      </w:r>
      <w:r>
        <w:rPr>
          <w:rFonts w:cs="Calibri"/>
          <w:color w:val="000000"/>
          <w:szCs w:val="21"/>
          <w:u w:val="single"/>
        </w:rPr>
        <w:t xml:space="preserve">         </w:t>
      </w:r>
      <w:r>
        <w:rPr>
          <w:rFonts w:cs="Calibri"/>
          <w:color w:val="000000"/>
          <w:szCs w:val="21"/>
        </w:rPr>
        <w:t xml:space="preserve">  年龄：</w:t>
      </w:r>
      <w:r>
        <w:rPr>
          <w:rFonts w:cs="Calibri"/>
          <w:color w:val="000000"/>
          <w:szCs w:val="21"/>
          <w:u w:val="single"/>
        </w:rPr>
        <w:t xml:space="preserve">         </w:t>
      </w:r>
      <w:r>
        <w:rPr>
          <w:rFonts w:cs="Calibri"/>
          <w:color w:val="000000"/>
          <w:szCs w:val="21"/>
        </w:rPr>
        <w:t xml:space="preserve">  职务：</w:t>
      </w:r>
      <w:r>
        <w:rPr>
          <w:rFonts w:cs="Calibri"/>
          <w:color w:val="000000"/>
          <w:szCs w:val="21"/>
          <w:u w:val="single"/>
        </w:rPr>
        <w:t xml:space="preserve">         </w:t>
      </w:r>
      <w:r>
        <w:rPr>
          <w:rFonts w:cs="Calibri"/>
          <w:color w:val="000000"/>
          <w:szCs w:val="21"/>
        </w:rPr>
        <w:t xml:space="preserve">  </w:t>
      </w:r>
    </w:p>
    <w:p>
      <w:pPr>
        <w:spacing w:after="120" w:afterLines="50" w:line="440" w:lineRule="exact"/>
        <w:rPr>
          <w:rFonts w:cs="Calibri"/>
          <w:color w:val="000000"/>
          <w:szCs w:val="21"/>
          <w:u w:val="single"/>
        </w:rPr>
      </w:pPr>
      <w:r>
        <w:rPr>
          <w:rFonts w:cs="Calibri"/>
          <w:color w:val="000000"/>
          <w:szCs w:val="21"/>
        </w:rPr>
        <w:t>身份证号码：</w:t>
      </w:r>
      <w:r>
        <w:rPr>
          <w:rFonts w:cs="Calibri"/>
          <w:color w:val="000000"/>
          <w:szCs w:val="21"/>
          <w:u w:val="single"/>
        </w:rPr>
        <w:t xml:space="preserve">                           </w:t>
      </w:r>
    </w:p>
    <w:p>
      <w:pPr>
        <w:spacing w:line="440" w:lineRule="exact"/>
        <w:ind w:firstLine="560"/>
        <w:rPr>
          <w:rFonts w:cs="Calibri"/>
          <w:color w:val="000000"/>
          <w:szCs w:val="21"/>
        </w:rPr>
      </w:pPr>
    </w:p>
    <w:p>
      <w:pPr>
        <w:spacing w:line="440" w:lineRule="exact"/>
        <w:rPr>
          <w:rFonts w:cs="Calibri"/>
          <w:color w:val="000000"/>
          <w:szCs w:val="21"/>
        </w:rPr>
      </w:pPr>
      <w:r>
        <w:rPr>
          <w:rFonts w:cs="Calibri"/>
          <w:color w:val="000000"/>
          <w:szCs w:val="21"/>
        </w:rPr>
        <w:t xml:space="preserve">    系</w:t>
      </w:r>
      <w:r>
        <w:rPr>
          <w:rFonts w:cs="Calibri"/>
          <w:color w:val="000000"/>
          <w:szCs w:val="21"/>
          <w:u w:val="single"/>
        </w:rPr>
        <w:t xml:space="preserve">                          </w:t>
      </w:r>
      <w:r>
        <w:rPr>
          <w:rFonts w:cs="Calibri"/>
          <w:color w:val="000000"/>
          <w:szCs w:val="21"/>
        </w:rPr>
        <w:t>（投标人名称）的法定代表人。</w:t>
      </w:r>
    </w:p>
    <w:p>
      <w:pPr>
        <w:spacing w:line="440" w:lineRule="exact"/>
        <w:ind w:firstLine="560"/>
        <w:rPr>
          <w:rFonts w:cs="Calibri"/>
          <w:color w:val="000000"/>
          <w:szCs w:val="21"/>
        </w:rPr>
      </w:pPr>
    </w:p>
    <w:p>
      <w:pPr>
        <w:spacing w:line="440" w:lineRule="exact"/>
        <w:rPr>
          <w:rFonts w:cs="Calibri"/>
          <w:color w:val="000000"/>
          <w:szCs w:val="21"/>
        </w:rPr>
      </w:pPr>
      <w:r>
        <w:rPr>
          <w:rFonts w:cs="Calibri"/>
          <w:color w:val="000000"/>
          <w:szCs w:val="21"/>
        </w:rPr>
        <w:t>特此证明。</w:t>
      </w:r>
    </w:p>
    <w:p>
      <w:pPr>
        <w:spacing w:line="440" w:lineRule="exact"/>
        <w:rPr>
          <w:rFonts w:cs="Calibri"/>
          <w:color w:val="000000"/>
          <w:szCs w:val="21"/>
        </w:rPr>
      </w:pPr>
      <w:r>
        <w:rPr>
          <w:rFonts w:cs="Calibri"/>
          <w:color w:val="000000"/>
          <w:szCs w:val="21"/>
        </w:rPr>
        <w:t>附：法定代表人身份证复印件</w:t>
      </w:r>
    </w:p>
    <w:p>
      <w:pPr>
        <w:spacing w:line="440" w:lineRule="exact"/>
        <w:rPr>
          <w:rFonts w:cs="Calibri"/>
          <w:color w:val="000000"/>
          <w:szCs w:val="21"/>
        </w:rPr>
      </w:pPr>
      <w:r>
        <w:rPr>
          <w:rFonts w:cs="Calibri"/>
          <w:color w:val="000000"/>
          <w:szCs w:val="21"/>
        </w:rPr>
        <w:t xml:space="preserve">投标人：（盖单位章） </w:t>
      </w:r>
    </w:p>
    <w:p>
      <w:pPr>
        <w:spacing w:line="440" w:lineRule="exact"/>
        <w:ind w:firstLine="6240" w:firstLineChars="2960"/>
        <w:rPr>
          <w:rFonts w:cs="Calibri"/>
          <w:b/>
          <w:color w:val="000000"/>
          <w:szCs w:val="21"/>
        </w:rPr>
      </w:pPr>
      <w:r>
        <w:rPr>
          <w:rFonts w:cs="Calibri"/>
          <w:b/>
          <w:color w:val="000000"/>
          <w:szCs w:val="21"/>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396240</wp:posOffset>
                </wp:positionV>
                <wp:extent cx="5372100" cy="2179320"/>
                <wp:effectExtent l="5080" t="4445" r="13970" b="6985"/>
                <wp:wrapSquare wrapText="bothSides"/>
                <wp:docPr id="2" name="Text Box 6"/>
                <wp:cNvGraphicFramePr/>
                <a:graphic xmlns:a="http://schemas.openxmlformats.org/drawingml/2006/main">
                  <a:graphicData uri="http://schemas.microsoft.com/office/word/2010/wordprocessingShape">
                    <wps:wsp>
                      <wps:cNvSpPr txBox="1">
                        <a:spLocks noChangeArrowheads="1"/>
                      </wps:cNvSpPr>
                      <wps:spPr bwMode="auto">
                        <a:xfrm>
                          <a:off x="0" y="0"/>
                          <a:ext cx="5372100" cy="2179320"/>
                        </a:xfrm>
                        <a:prstGeom prst="rect">
                          <a:avLst/>
                        </a:prstGeom>
                        <a:solidFill>
                          <a:srgbClr val="FFFFFF"/>
                        </a:solidFill>
                        <a:ln w="9525">
                          <a:solidFill>
                            <a:srgbClr val="000000"/>
                          </a:solidFill>
                          <a:miter lim="800000"/>
                        </a:ln>
                      </wps:spPr>
                      <wps:txbx>
                        <w:txbxContent>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Cs w:val="21"/>
                              </w:rPr>
                            </w:pPr>
                            <w:r>
                              <w:rPr>
                                <w:szCs w:val="21"/>
                              </w:rPr>
                              <w:t>法定代表人</w:t>
                            </w:r>
                            <w:r>
                              <w:rPr>
                                <w:rFonts w:hint="eastAsia"/>
                                <w:szCs w:val="21"/>
                              </w:rPr>
                              <w:t>身份证复印件粘贴处（正、反面）</w:t>
                            </w:r>
                          </w:p>
                        </w:txbxContent>
                      </wps:txbx>
                      <wps:bodyPr rot="0" vert="horz" wrap="square" lIns="91440" tIns="45720" rIns="91440" bIns="45720" anchor="t" anchorCtr="0" upright="1">
                        <a:noAutofit/>
                      </wps:bodyPr>
                    </wps:wsp>
                  </a:graphicData>
                </a:graphic>
              </wp:anchor>
            </w:drawing>
          </mc:Choice>
          <mc:Fallback>
            <w:pict>
              <v:shape id="Text Box 6" o:spid="_x0000_s1026" o:spt="202" type="#_x0000_t202" style="position:absolute;left:0pt;margin-left:0pt;margin-top:31.2pt;height:171.6pt;width:423pt;mso-wrap-distance-bottom:0pt;mso-wrap-distance-left:9pt;mso-wrap-distance-right:9pt;mso-wrap-distance-top:0pt;z-index:251659264;mso-width-relative:page;mso-height-relative:page;" fillcolor="#FFFFFF" filled="t" stroked="t" coordsize="21600,21600" o:gfxdata="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anyu01wAAAAcBAAAPAAAA&#10;AAAAAAEAIAAAACIAAABkcnMvZG93bnJldi54bWxQSwECFAAUAAAACACHTuJAHebABRYCAAA5BAAA&#10;DgAAAAAAAAABACAAAAAmAQAAZHJzL2Uyb0RvYy54bWxQSwUGAAAAAAYABgBZAQAArgUAAAAA&#10;">
                <v:fill on="t" focussize="0,0"/>
                <v:stroke color="#000000" miterlimit="8" joinstyle="miter"/>
                <v:imagedata o:title=""/>
                <o:lock v:ext="edit" aspectratio="f"/>
                <v:textbox>
                  <w:txbxContent>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Cs w:val="21"/>
                        </w:rPr>
                      </w:pPr>
                      <w:r>
                        <w:rPr>
                          <w:szCs w:val="21"/>
                        </w:rPr>
                        <w:t>法定代表人</w:t>
                      </w:r>
                      <w:r>
                        <w:rPr>
                          <w:rFonts w:hint="eastAsia"/>
                          <w:szCs w:val="21"/>
                        </w:rPr>
                        <w:t>身份证复印件粘贴处（正、反面）</w:t>
                      </w:r>
                    </w:p>
                  </w:txbxContent>
                </v:textbox>
                <w10:wrap type="square"/>
              </v:shape>
            </w:pict>
          </mc:Fallback>
        </mc:AlternateContent>
      </w:r>
      <w:r>
        <w:rPr>
          <w:rFonts w:cs="Calibri"/>
          <w:color w:val="000000"/>
          <w:szCs w:val="21"/>
        </w:rPr>
        <w:t>日期：   年    月    日</w:t>
      </w:r>
    </w:p>
    <w:p>
      <w:pPr>
        <w:spacing w:line="440" w:lineRule="exact"/>
        <w:jc w:val="center"/>
        <w:rPr>
          <w:rFonts w:eastAsia="黑体" w:cs="Calibri"/>
          <w:color w:val="000000"/>
          <w:sz w:val="28"/>
          <w:szCs w:val="28"/>
        </w:rPr>
      </w:pPr>
      <w:r>
        <w:rPr>
          <w:rFonts w:cs="Calibri"/>
          <w:color w:val="000000"/>
          <w:szCs w:val="21"/>
        </w:rPr>
        <w:br w:type="page"/>
      </w:r>
      <w:r>
        <w:rPr>
          <w:rFonts w:hint="eastAsia" w:eastAsia="黑体" w:cs="Calibri"/>
          <w:color w:val="000000"/>
          <w:sz w:val="32"/>
          <w:szCs w:val="32"/>
        </w:rPr>
        <w:t>三</w:t>
      </w:r>
      <w:r>
        <w:rPr>
          <w:rFonts w:eastAsia="黑体" w:cs="Calibri"/>
          <w:color w:val="000000"/>
          <w:sz w:val="32"/>
          <w:szCs w:val="32"/>
        </w:rPr>
        <w:t>、授权委托书</w:t>
      </w:r>
    </w:p>
    <w:p>
      <w:pPr>
        <w:spacing w:line="440" w:lineRule="exact"/>
        <w:ind w:firstLine="420" w:firstLineChars="200"/>
        <w:rPr>
          <w:rFonts w:cs="Calibri"/>
          <w:color w:val="000000"/>
          <w:szCs w:val="21"/>
        </w:rPr>
      </w:pPr>
    </w:p>
    <w:p>
      <w:pPr>
        <w:spacing w:line="440" w:lineRule="exact"/>
        <w:ind w:firstLine="420" w:firstLineChars="200"/>
        <w:rPr>
          <w:rFonts w:cs="Calibri"/>
          <w:color w:val="000000"/>
          <w:szCs w:val="21"/>
        </w:rPr>
      </w:pPr>
      <w:r>
        <w:rPr>
          <w:rFonts w:cs="Calibri"/>
          <w:color w:val="000000"/>
          <w:szCs w:val="21"/>
        </w:rPr>
        <w:t>本人</w:t>
      </w:r>
      <w:r>
        <w:rPr>
          <w:rFonts w:cs="Calibri"/>
          <w:color w:val="000000"/>
          <w:szCs w:val="21"/>
          <w:u w:val="single"/>
        </w:rPr>
        <w:t xml:space="preserve">        </w:t>
      </w:r>
      <w:r>
        <w:rPr>
          <w:rFonts w:cs="Calibri"/>
          <w:color w:val="000000"/>
          <w:szCs w:val="21"/>
        </w:rPr>
        <w:t>（姓名）系</w:t>
      </w:r>
      <w:r>
        <w:rPr>
          <w:rFonts w:cs="Calibri"/>
          <w:color w:val="000000"/>
          <w:szCs w:val="21"/>
          <w:u w:val="single"/>
        </w:rPr>
        <w:t xml:space="preserve">                </w:t>
      </w:r>
      <w:r>
        <w:rPr>
          <w:rFonts w:cs="Calibri"/>
          <w:color w:val="000000"/>
          <w:szCs w:val="21"/>
        </w:rPr>
        <w:t>（投标人名称）的法定代表人，现委托</w:t>
      </w:r>
      <w:r>
        <w:rPr>
          <w:rFonts w:cs="Calibri"/>
          <w:color w:val="000000"/>
          <w:szCs w:val="21"/>
          <w:u w:val="single"/>
        </w:rPr>
        <w:t xml:space="preserve">      </w:t>
      </w:r>
      <w:r>
        <w:rPr>
          <w:rFonts w:cs="Calibri"/>
          <w:color w:val="000000"/>
          <w:szCs w:val="21"/>
        </w:rPr>
        <w:t>（姓名）为我方代理人。代理人根据授权，以我方名义签署、澄清、说明、补正、递交、撤回、修改</w:t>
      </w:r>
      <w:r>
        <w:rPr>
          <w:rFonts w:cs="Calibri"/>
          <w:color w:val="000000"/>
          <w:szCs w:val="21"/>
          <w:u w:val="single"/>
        </w:rPr>
        <w:t xml:space="preserve">              </w:t>
      </w:r>
      <w:r>
        <w:rPr>
          <w:rFonts w:cs="Calibri"/>
          <w:color w:val="000000"/>
          <w:szCs w:val="21"/>
        </w:rPr>
        <w:t>（项目名称）投标文件、签订合同和处理有关事宜，其法律后果由我方承担。</w:t>
      </w:r>
    </w:p>
    <w:p>
      <w:pPr>
        <w:spacing w:line="440" w:lineRule="exact"/>
        <w:ind w:firstLine="420" w:firstLineChars="200"/>
        <w:rPr>
          <w:rFonts w:cs="Calibri"/>
          <w:color w:val="000000"/>
          <w:szCs w:val="21"/>
        </w:rPr>
      </w:pPr>
      <w:r>
        <w:rPr>
          <w:rFonts w:cs="Calibri"/>
          <w:color w:val="000000"/>
          <w:szCs w:val="21"/>
        </w:rPr>
        <w:t>代理人无转委托权。</w:t>
      </w:r>
    </w:p>
    <w:p>
      <w:pPr>
        <w:spacing w:line="440" w:lineRule="exact"/>
        <w:ind w:firstLine="420" w:firstLineChars="200"/>
        <w:rPr>
          <w:rFonts w:cs="Calibri"/>
          <w:color w:val="000000"/>
          <w:szCs w:val="21"/>
        </w:rPr>
      </w:pPr>
      <w:r>
        <w:rPr>
          <w:rFonts w:cs="Calibri"/>
          <w:color w:val="000000"/>
          <w:szCs w:val="21"/>
        </w:rPr>
        <w:t>附：委托代理人身份证复印件</w:t>
      </w:r>
    </w:p>
    <w:p>
      <w:pPr>
        <w:spacing w:line="440" w:lineRule="exact"/>
        <w:rPr>
          <w:rFonts w:cs="Calibri"/>
          <w:color w:val="000000"/>
          <w:szCs w:val="21"/>
        </w:rPr>
      </w:pPr>
    </w:p>
    <w:p>
      <w:pPr>
        <w:spacing w:line="440" w:lineRule="exact"/>
        <w:rPr>
          <w:rFonts w:cs="Calibri"/>
          <w:color w:val="000000"/>
          <w:szCs w:val="21"/>
        </w:rPr>
      </w:pPr>
      <w:r>
        <w:rPr>
          <w:rFonts w:cs="Calibri"/>
          <w:color w:val="000000"/>
          <w:szCs w:val="21"/>
        </w:rPr>
        <w:t>投标人：（盖单位章）</w:t>
      </w:r>
    </w:p>
    <w:p>
      <w:pPr>
        <w:spacing w:line="440" w:lineRule="exact"/>
        <w:rPr>
          <w:rFonts w:cs="Calibri"/>
          <w:color w:val="000000"/>
          <w:szCs w:val="21"/>
        </w:rPr>
      </w:pPr>
      <w:r>
        <w:rPr>
          <w:rFonts w:cs="Calibri"/>
          <w:color w:val="000000"/>
          <w:szCs w:val="21"/>
        </w:rPr>
        <w:t>法定代表人：（签字或盖章）</w:t>
      </w:r>
    </w:p>
    <w:p>
      <w:pPr>
        <w:spacing w:line="440" w:lineRule="exact"/>
        <w:rPr>
          <w:rFonts w:cs="Calibri"/>
          <w:color w:val="000000"/>
          <w:szCs w:val="21"/>
        </w:rPr>
      </w:pPr>
      <w:r>
        <w:rPr>
          <w:rFonts w:cs="Calibri"/>
          <w:color w:val="000000"/>
          <w:szCs w:val="21"/>
        </w:rPr>
        <w:t>身份证号码：</w:t>
      </w:r>
    </w:p>
    <w:p>
      <w:pPr>
        <w:spacing w:line="440" w:lineRule="exact"/>
        <w:rPr>
          <w:rFonts w:cs="Calibri"/>
          <w:color w:val="000000"/>
          <w:szCs w:val="21"/>
        </w:rPr>
      </w:pPr>
    </w:p>
    <w:p>
      <w:pPr>
        <w:spacing w:line="440" w:lineRule="exact"/>
        <w:rPr>
          <w:rFonts w:cs="Calibri"/>
          <w:color w:val="000000"/>
          <w:szCs w:val="21"/>
        </w:rPr>
      </w:pPr>
      <w:r>
        <w:rPr>
          <w:rFonts w:cs="Calibri"/>
          <w:color w:val="000000"/>
          <w:szCs w:val="21"/>
        </w:rPr>
        <w:t>委托的代理人：（签字或盖章）</w:t>
      </w:r>
    </w:p>
    <w:p>
      <w:pPr>
        <w:spacing w:line="440" w:lineRule="exact"/>
        <w:rPr>
          <w:rFonts w:cs="Calibri"/>
          <w:color w:val="000000"/>
          <w:szCs w:val="21"/>
        </w:rPr>
      </w:pPr>
      <w:r>
        <w:rPr>
          <w:rFonts w:cs="Calibri"/>
          <w:color w:val="000000"/>
          <w:szCs w:val="21"/>
        </w:rPr>
        <w:t>身份证号码：</w:t>
      </w:r>
    </w:p>
    <w:p>
      <w:pPr>
        <w:spacing w:line="440" w:lineRule="exact"/>
        <w:ind w:firstLine="4515" w:firstLineChars="2150"/>
        <w:rPr>
          <w:rFonts w:cs="Calibri"/>
          <w:color w:val="000000"/>
          <w:szCs w:val="21"/>
        </w:rPr>
      </w:pPr>
      <w:r>
        <w:rPr>
          <w:rFonts w:cs="Calibri"/>
          <w:color w:val="000000"/>
          <w:szCs w:val="21"/>
        </w:rPr>
        <w:t>日期：</w:t>
      </w:r>
      <w:r>
        <w:rPr>
          <w:rFonts w:cs="Calibri"/>
          <w:color w:val="000000"/>
          <w:szCs w:val="21"/>
          <w:u w:val="single"/>
        </w:rPr>
        <w:t xml:space="preserve">      </w:t>
      </w:r>
      <w:r>
        <w:rPr>
          <w:rFonts w:cs="Calibri"/>
          <w:color w:val="000000"/>
          <w:szCs w:val="21"/>
        </w:rPr>
        <w:t>年</w:t>
      </w:r>
      <w:r>
        <w:rPr>
          <w:rFonts w:cs="Calibri"/>
          <w:color w:val="000000"/>
          <w:szCs w:val="21"/>
          <w:u w:val="single"/>
        </w:rPr>
        <w:t xml:space="preserve">      </w:t>
      </w:r>
      <w:r>
        <w:rPr>
          <w:rFonts w:cs="Calibri"/>
          <w:color w:val="000000"/>
          <w:szCs w:val="21"/>
        </w:rPr>
        <w:t>月</w:t>
      </w:r>
      <w:r>
        <w:rPr>
          <w:rFonts w:cs="Calibri"/>
          <w:color w:val="000000"/>
          <w:szCs w:val="21"/>
          <w:u w:val="single"/>
        </w:rPr>
        <w:t xml:space="preserve">      </w:t>
      </w:r>
      <w:r>
        <w:rPr>
          <w:rFonts w:cs="Calibri"/>
          <w:color w:val="000000"/>
          <w:szCs w:val="21"/>
        </w:rPr>
        <w:t>日</w:t>
      </w:r>
    </w:p>
    <w:p>
      <w:pPr>
        <w:snapToGrid w:val="0"/>
        <w:spacing w:line="440" w:lineRule="exact"/>
        <w:rPr>
          <w:rFonts w:cs="Calibri"/>
          <w:color w:val="000000"/>
          <w:szCs w:val="21"/>
        </w:rPr>
      </w:pPr>
      <w:r>
        <w:rPr>
          <w:rFonts w:cs="Calibri"/>
          <w:b/>
          <w:color w:val="000000"/>
          <w:szCs w:val="21"/>
        </w:rPr>
        <mc:AlternateContent>
          <mc:Choice Requires="wps">
            <w:drawing>
              <wp:anchor distT="0" distB="0" distL="114300" distR="114300" simplePos="0" relativeHeight="251660288" behindDoc="0" locked="0" layoutInCell="1" allowOverlap="1">
                <wp:simplePos x="0" y="0"/>
                <wp:positionH relativeFrom="column">
                  <wp:posOffset>116205</wp:posOffset>
                </wp:positionH>
                <wp:positionV relativeFrom="paragraph">
                  <wp:posOffset>264160</wp:posOffset>
                </wp:positionV>
                <wp:extent cx="5372100" cy="2179320"/>
                <wp:effectExtent l="5080" t="4445" r="13970" b="6985"/>
                <wp:wrapSquare wrapText="bothSides"/>
                <wp:docPr id="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372100" cy="2179320"/>
                        </a:xfrm>
                        <a:prstGeom prst="rect">
                          <a:avLst/>
                        </a:prstGeom>
                        <a:solidFill>
                          <a:srgbClr val="FFFFFF"/>
                        </a:solidFill>
                        <a:ln w="9525">
                          <a:solidFill>
                            <a:srgbClr val="000000"/>
                          </a:solidFill>
                          <a:miter lim="800000"/>
                        </a:ln>
                      </wps:spPr>
                      <wps:txbx>
                        <w:txbxContent>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 w:val="28"/>
                                <w:szCs w:val="28"/>
                              </w:rPr>
                            </w:pPr>
                            <w:r>
                              <w:rPr>
                                <w:rFonts w:hint="eastAsia"/>
                                <w:szCs w:val="21"/>
                              </w:rPr>
                              <w:t>委托代理人身份证复印件粘贴处（正、反面）</w:t>
                            </w:r>
                          </w:p>
                        </w:txbxContent>
                      </wps:txbx>
                      <wps:bodyPr rot="0" vert="horz" wrap="square" lIns="91440" tIns="45720" rIns="91440" bIns="45720" anchor="t" anchorCtr="0" upright="1">
                        <a:noAutofit/>
                      </wps:bodyPr>
                    </wps:wsp>
                  </a:graphicData>
                </a:graphic>
              </wp:anchor>
            </w:drawing>
          </mc:Choice>
          <mc:Fallback>
            <w:pict>
              <v:shape id="Text Box 7" o:spid="_x0000_s1026" o:spt="202" type="#_x0000_t202" style="position:absolute;left:0pt;margin-left:9.15pt;margin-top:20.8pt;height:171.6pt;width:423pt;mso-wrap-distance-bottom:0pt;mso-wrap-distance-left:9pt;mso-wrap-distance-right:9pt;mso-wrap-distance-top:0pt;z-index:251660288;mso-width-relative:page;mso-height-relative:page;" fillcolor="#FFFFFF" filled="t" stroked="t" coordsize="21600,21600" o:gfxdata="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6k96wdcAAAAJAQAADwAA&#10;AAAAAAABACAAAAAiAAAAZHJzL2Rvd25yZXYueG1sUEsBAhQAFAAAAAgAh07iQMCAvR8XAgAAOQQA&#10;AA4AAAAAAAAAAQAgAAAAJgEAAGRycy9lMm9Eb2MueG1sUEsFBgAAAAAGAAYAWQEAAK8FAAAAAA==&#10;">
                <v:fill on="t" focussize="0,0"/>
                <v:stroke color="#000000" miterlimit="8" joinstyle="miter"/>
                <v:imagedata o:title=""/>
                <o:lock v:ext="edit" aspectratio="f"/>
                <v:textbox>
                  <w:txbxContent>
                    <w:p>
                      <w:pPr>
                        <w:jc w:val="center"/>
                        <w:rPr>
                          <w:sz w:val="30"/>
                          <w:szCs w:val="30"/>
                        </w:rPr>
                      </w:pPr>
                    </w:p>
                    <w:p>
                      <w:pPr>
                        <w:jc w:val="center"/>
                        <w:rPr>
                          <w:sz w:val="30"/>
                          <w:szCs w:val="30"/>
                        </w:rPr>
                      </w:pPr>
                    </w:p>
                    <w:p>
                      <w:pPr>
                        <w:jc w:val="center"/>
                        <w:rPr>
                          <w:sz w:val="30"/>
                          <w:szCs w:val="30"/>
                        </w:rPr>
                      </w:pPr>
                    </w:p>
                    <w:p>
                      <w:pPr>
                        <w:jc w:val="center"/>
                        <w:rPr>
                          <w:sz w:val="30"/>
                          <w:szCs w:val="30"/>
                        </w:rPr>
                      </w:pPr>
                    </w:p>
                    <w:p>
                      <w:pPr>
                        <w:jc w:val="center"/>
                        <w:rPr>
                          <w:sz w:val="28"/>
                          <w:szCs w:val="28"/>
                        </w:rPr>
                      </w:pPr>
                      <w:r>
                        <w:rPr>
                          <w:rFonts w:hint="eastAsia"/>
                          <w:szCs w:val="21"/>
                        </w:rPr>
                        <w:t>委托代理人身份证复印件粘贴处（正、反面）</w:t>
                      </w:r>
                    </w:p>
                  </w:txbxContent>
                </v:textbox>
                <w10:wrap type="square"/>
              </v:shape>
            </w:pict>
          </mc:Fallback>
        </mc:AlternateContent>
      </w:r>
      <w:r>
        <w:rPr>
          <w:rFonts w:cs="Calibri"/>
          <w:color w:val="000000"/>
          <w:szCs w:val="21"/>
        </w:rPr>
        <w:t xml:space="preserve">                                  </w:t>
      </w:r>
    </w:p>
    <w:p>
      <w:pPr>
        <w:spacing w:line="440" w:lineRule="exact"/>
        <w:rPr>
          <w:rFonts w:cs="Calibri"/>
          <w:b/>
          <w:bCs/>
          <w:color w:val="000000"/>
          <w:szCs w:val="21"/>
        </w:rPr>
      </w:pPr>
      <w:r>
        <w:rPr>
          <w:rFonts w:cs="Calibri"/>
          <w:b/>
          <w:bCs/>
          <w:color w:val="000000"/>
          <w:szCs w:val="21"/>
        </w:rPr>
        <w:t xml:space="preserve">  </w:t>
      </w:r>
    </w:p>
    <w:p>
      <w:pPr>
        <w:spacing w:line="440" w:lineRule="exact"/>
        <w:rPr>
          <w:rFonts w:cs="Calibri"/>
          <w:b/>
          <w:bCs/>
          <w:color w:val="000000"/>
          <w:szCs w:val="21"/>
        </w:rPr>
      </w:pPr>
    </w:p>
    <w:p>
      <w:pPr>
        <w:spacing w:line="440" w:lineRule="exact"/>
        <w:rPr>
          <w:rFonts w:cs="Calibri"/>
          <w:color w:val="000000"/>
          <w:szCs w:val="21"/>
        </w:rPr>
      </w:pPr>
    </w:p>
    <w:p>
      <w:pPr>
        <w:spacing w:line="440" w:lineRule="exact"/>
        <w:rPr>
          <w:rFonts w:cs="Calibri"/>
          <w:color w:val="000000"/>
          <w:szCs w:val="21"/>
        </w:rPr>
      </w:pPr>
    </w:p>
    <w:p>
      <w:pPr>
        <w:spacing w:line="440" w:lineRule="exact"/>
        <w:rPr>
          <w:rFonts w:cs="Calibri"/>
          <w:color w:val="000000"/>
          <w:szCs w:val="21"/>
        </w:rPr>
      </w:pPr>
    </w:p>
    <w:p>
      <w:pPr>
        <w:spacing w:line="440" w:lineRule="exact"/>
        <w:rPr>
          <w:rFonts w:cs="Calibri"/>
          <w:color w:val="000000"/>
          <w:szCs w:val="21"/>
        </w:rPr>
      </w:pPr>
    </w:p>
    <w:p>
      <w:pPr>
        <w:spacing w:line="440" w:lineRule="exact"/>
        <w:rPr>
          <w:rFonts w:cs="Calibri"/>
          <w:color w:val="000000"/>
          <w:szCs w:val="21"/>
        </w:rPr>
      </w:pPr>
    </w:p>
    <w:p>
      <w:pPr>
        <w:spacing w:line="440" w:lineRule="exact"/>
        <w:rPr>
          <w:rFonts w:cs="Calibri"/>
          <w:color w:val="000000"/>
          <w:szCs w:val="21"/>
        </w:rPr>
      </w:pPr>
    </w:p>
    <w:p>
      <w:pPr>
        <w:spacing w:line="440" w:lineRule="exact"/>
        <w:rPr>
          <w:rFonts w:cs="Calibri"/>
          <w:b/>
          <w:bCs/>
          <w:color w:val="000000"/>
          <w:szCs w:val="21"/>
        </w:rPr>
      </w:pPr>
      <w:r>
        <w:rPr>
          <w:rFonts w:cs="Calibri"/>
          <w:color w:val="000000"/>
          <w:szCs w:val="21"/>
        </w:rPr>
        <w:t>注：如投标文件由委托代理人签字或盖章的，投标文件必须附此授权委托书。</w:t>
      </w:r>
      <w:r>
        <w:rPr>
          <w:rFonts w:cs="Calibri"/>
          <w:b/>
          <w:bCs/>
          <w:color w:val="000000"/>
          <w:szCs w:val="21"/>
        </w:rPr>
        <w:t xml:space="preserve">     </w:t>
      </w:r>
    </w:p>
    <w:p>
      <w:pPr>
        <w:spacing w:line="440" w:lineRule="exact"/>
        <w:rPr>
          <w:rFonts w:cs="Calibri"/>
          <w:b/>
          <w:bCs/>
          <w:color w:val="000000"/>
          <w:szCs w:val="21"/>
        </w:rPr>
      </w:pPr>
    </w:p>
    <w:p>
      <w:pPr>
        <w:spacing w:line="440" w:lineRule="exact"/>
        <w:rPr>
          <w:rFonts w:cs="Calibri"/>
          <w:b/>
          <w:bCs/>
          <w:color w:val="000000"/>
          <w:sz w:val="32"/>
        </w:rPr>
      </w:pPr>
    </w:p>
    <w:p>
      <w:pPr>
        <w:widowControl/>
        <w:jc w:val="left"/>
        <w:rPr>
          <w:rFonts w:cs="Calibri"/>
          <w:b/>
          <w:bCs/>
          <w:color w:val="000000"/>
          <w:sz w:val="32"/>
        </w:rPr>
      </w:pPr>
      <w:r>
        <w:rPr>
          <w:rFonts w:cs="Calibri"/>
          <w:b/>
          <w:bCs/>
          <w:color w:val="000000"/>
          <w:sz w:val="32"/>
        </w:rPr>
        <w:br w:type="page"/>
      </w:r>
    </w:p>
    <w:p>
      <w:pPr>
        <w:spacing w:line="440" w:lineRule="exact"/>
        <w:jc w:val="center"/>
        <w:rPr>
          <w:rFonts w:eastAsia="黑体" w:cs="Calibri"/>
          <w:color w:val="000000"/>
          <w:sz w:val="32"/>
          <w:szCs w:val="32"/>
        </w:rPr>
      </w:pPr>
      <w:r>
        <w:rPr>
          <w:rFonts w:hint="eastAsia" w:eastAsia="黑体" w:cs="Calibri"/>
          <w:color w:val="000000"/>
          <w:sz w:val="32"/>
          <w:szCs w:val="32"/>
        </w:rPr>
        <w:t>四</w:t>
      </w:r>
      <w:r>
        <w:rPr>
          <w:rFonts w:eastAsia="黑体" w:cs="Calibri"/>
          <w:color w:val="000000"/>
          <w:sz w:val="32"/>
          <w:szCs w:val="32"/>
        </w:rPr>
        <w:t>、投标报价表</w:t>
      </w:r>
    </w:p>
    <w:p>
      <w:pPr>
        <w:rPr>
          <w:rFonts w:cs="Calibri"/>
          <w:sz w:val="24"/>
        </w:rPr>
      </w:pPr>
    </w:p>
    <w:p>
      <w:pPr>
        <w:jc w:val="right"/>
        <w:rPr>
          <w:rFonts w:cs="Calibri"/>
          <w:bCs/>
          <w:sz w:val="24"/>
        </w:rPr>
      </w:pPr>
      <w:r>
        <w:rPr>
          <w:rFonts w:hint="eastAsia" w:cs="Calibri"/>
          <w:bCs/>
          <w:sz w:val="24"/>
        </w:rPr>
        <w:t>单位：万元</w:t>
      </w:r>
    </w:p>
    <w:tbl>
      <w:tblPr>
        <w:tblStyle w:val="53"/>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5"/>
        <w:gridCol w:w="3155"/>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15" w:type="dxa"/>
            <w:vAlign w:val="center"/>
          </w:tcPr>
          <w:p>
            <w:pPr>
              <w:jc w:val="center"/>
              <w:rPr>
                <w:rFonts w:cs="Calibri"/>
                <w:szCs w:val="21"/>
              </w:rPr>
            </w:pPr>
            <w:r>
              <w:rPr>
                <w:rFonts w:cs="Calibri"/>
                <w:szCs w:val="21"/>
              </w:rPr>
              <w:t>序号</w:t>
            </w:r>
          </w:p>
        </w:tc>
        <w:tc>
          <w:tcPr>
            <w:tcW w:w="3155" w:type="dxa"/>
            <w:vAlign w:val="center"/>
          </w:tcPr>
          <w:p>
            <w:pPr>
              <w:jc w:val="center"/>
              <w:rPr>
                <w:rFonts w:cs="Calibri"/>
                <w:szCs w:val="21"/>
              </w:rPr>
            </w:pPr>
            <w:r>
              <w:rPr>
                <w:rFonts w:cs="Calibri"/>
                <w:szCs w:val="21"/>
              </w:rPr>
              <w:t>费用名称</w:t>
            </w:r>
          </w:p>
        </w:tc>
        <w:tc>
          <w:tcPr>
            <w:tcW w:w="4536" w:type="dxa"/>
            <w:tcBorders>
              <w:left w:val="single" w:color="auto" w:sz="4" w:space="0"/>
            </w:tcBorders>
            <w:vAlign w:val="center"/>
          </w:tcPr>
          <w:p>
            <w:pPr>
              <w:jc w:val="center"/>
              <w:rPr>
                <w:rFonts w:cs="Calibri"/>
                <w:szCs w:val="21"/>
              </w:rPr>
            </w:pPr>
            <w:r>
              <w:rPr>
                <w:rFonts w:cs="Calibri"/>
                <w:szCs w:val="21"/>
              </w:rPr>
              <w:t>投标</w:t>
            </w:r>
            <w:r>
              <w:rPr>
                <w:rFonts w:hint="eastAsia" w:cs="Calibri"/>
                <w:szCs w:val="21"/>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15" w:type="dxa"/>
            <w:vAlign w:val="center"/>
          </w:tcPr>
          <w:p>
            <w:pPr>
              <w:jc w:val="center"/>
              <w:rPr>
                <w:rFonts w:cs="Calibri"/>
                <w:b/>
                <w:bCs/>
                <w:szCs w:val="21"/>
              </w:rPr>
            </w:pPr>
            <w:r>
              <w:rPr>
                <w:rFonts w:cs="Calibri"/>
                <w:bCs/>
                <w:szCs w:val="21"/>
              </w:rPr>
              <w:t>1</w:t>
            </w:r>
          </w:p>
        </w:tc>
        <w:tc>
          <w:tcPr>
            <w:tcW w:w="3155" w:type="dxa"/>
            <w:vAlign w:val="center"/>
          </w:tcPr>
          <w:p>
            <w:pPr>
              <w:jc w:val="center"/>
              <w:rPr>
                <w:rFonts w:cs="Calibri"/>
                <w:szCs w:val="21"/>
              </w:rPr>
            </w:pPr>
          </w:p>
        </w:tc>
        <w:tc>
          <w:tcPr>
            <w:tcW w:w="4536" w:type="dxa"/>
            <w:tcBorders>
              <w:left w:val="single" w:color="auto" w:sz="4" w:space="0"/>
            </w:tcBorders>
            <w:vAlign w:val="center"/>
          </w:tcPr>
          <w:p>
            <w:pPr>
              <w:jc w:val="right"/>
              <w:rPr>
                <w:rFonts w:cs="Calibri"/>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15" w:type="dxa"/>
            <w:vAlign w:val="center"/>
          </w:tcPr>
          <w:p>
            <w:pPr>
              <w:jc w:val="center"/>
              <w:rPr>
                <w:rFonts w:cs="Calibri"/>
                <w:bCs/>
                <w:szCs w:val="21"/>
              </w:rPr>
            </w:pPr>
            <w:r>
              <w:rPr>
                <w:rFonts w:hint="eastAsia" w:cs="Calibri"/>
                <w:bCs/>
                <w:szCs w:val="21"/>
              </w:rPr>
              <w:t>2</w:t>
            </w:r>
          </w:p>
        </w:tc>
        <w:tc>
          <w:tcPr>
            <w:tcW w:w="3155" w:type="dxa"/>
            <w:vAlign w:val="center"/>
          </w:tcPr>
          <w:p>
            <w:pPr>
              <w:jc w:val="center"/>
              <w:rPr>
                <w:rFonts w:cs="Calibri"/>
                <w:color w:val="000000"/>
                <w:szCs w:val="21"/>
              </w:rPr>
            </w:pPr>
          </w:p>
        </w:tc>
        <w:tc>
          <w:tcPr>
            <w:tcW w:w="4536" w:type="dxa"/>
            <w:tcBorders>
              <w:left w:val="single" w:color="auto" w:sz="4" w:space="0"/>
            </w:tcBorders>
            <w:vAlign w:val="center"/>
          </w:tcPr>
          <w:p>
            <w:pPr>
              <w:jc w:val="right"/>
              <w:rPr>
                <w:rFonts w:cs="Calibri"/>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15" w:type="dxa"/>
            <w:vAlign w:val="center"/>
          </w:tcPr>
          <w:p>
            <w:pPr>
              <w:jc w:val="center"/>
              <w:rPr>
                <w:rFonts w:cs="Calibri"/>
                <w:bCs/>
                <w:szCs w:val="21"/>
              </w:rPr>
            </w:pPr>
            <w:r>
              <w:rPr>
                <w:rFonts w:hint="eastAsia" w:cs="Calibri"/>
                <w:bCs/>
                <w:szCs w:val="21"/>
              </w:rPr>
              <w:t>3</w:t>
            </w:r>
          </w:p>
        </w:tc>
        <w:tc>
          <w:tcPr>
            <w:tcW w:w="3155" w:type="dxa"/>
            <w:vAlign w:val="center"/>
          </w:tcPr>
          <w:p>
            <w:pPr>
              <w:jc w:val="center"/>
              <w:rPr>
                <w:rFonts w:cs="Calibri"/>
                <w:color w:val="000000"/>
                <w:szCs w:val="21"/>
              </w:rPr>
            </w:pPr>
          </w:p>
        </w:tc>
        <w:tc>
          <w:tcPr>
            <w:tcW w:w="4536" w:type="dxa"/>
            <w:tcBorders>
              <w:left w:val="single" w:color="auto" w:sz="4" w:space="0"/>
            </w:tcBorders>
            <w:vAlign w:val="center"/>
          </w:tcPr>
          <w:p>
            <w:pPr>
              <w:jc w:val="right"/>
              <w:rPr>
                <w:rFonts w:cs="Calibri"/>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15" w:type="dxa"/>
            <w:vAlign w:val="center"/>
          </w:tcPr>
          <w:p>
            <w:pPr>
              <w:jc w:val="center"/>
              <w:rPr>
                <w:rFonts w:cs="Calibri"/>
                <w:bCs/>
                <w:szCs w:val="21"/>
              </w:rPr>
            </w:pPr>
            <w:r>
              <w:rPr>
                <w:rFonts w:hint="eastAsia" w:cs="Calibri"/>
                <w:bCs/>
                <w:szCs w:val="21"/>
              </w:rPr>
              <w:t>4</w:t>
            </w:r>
          </w:p>
        </w:tc>
        <w:tc>
          <w:tcPr>
            <w:tcW w:w="3155" w:type="dxa"/>
            <w:vAlign w:val="center"/>
          </w:tcPr>
          <w:p>
            <w:pPr>
              <w:jc w:val="center"/>
              <w:rPr>
                <w:rFonts w:cs="Calibri"/>
                <w:color w:val="000000"/>
                <w:szCs w:val="21"/>
              </w:rPr>
            </w:pPr>
          </w:p>
        </w:tc>
        <w:tc>
          <w:tcPr>
            <w:tcW w:w="4536" w:type="dxa"/>
            <w:tcBorders>
              <w:left w:val="single" w:color="auto" w:sz="4" w:space="0"/>
            </w:tcBorders>
            <w:vAlign w:val="center"/>
          </w:tcPr>
          <w:p>
            <w:pPr>
              <w:jc w:val="right"/>
              <w:rPr>
                <w:rFonts w:cs="Calibri"/>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15" w:type="dxa"/>
            <w:vAlign w:val="center"/>
          </w:tcPr>
          <w:p>
            <w:pPr>
              <w:jc w:val="center"/>
              <w:rPr>
                <w:rFonts w:cs="Calibri"/>
                <w:bCs/>
                <w:szCs w:val="21"/>
              </w:rPr>
            </w:pPr>
          </w:p>
        </w:tc>
        <w:tc>
          <w:tcPr>
            <w:tcW w:w="3155" w:type="dxa"/>
            <w:vAlign w:val="center"/>
          </w:tcPr>
          <w:p>
            <w:pPr>
              <w:jc w:val="center"/>
              <w:rPr>
                <w:rFonts w:cs="Calibri"/>
                <w:color w:val="000000"/>
                <w:szCs w:val="21"/>
              </w:rPr>
            </w:pPr>
          </w:p>
        </w:tc>
        <w:tc>
          <w:tcPr>
            <w:tcW w:w="4536" w:type="dxa"/>
            <w:tcBorders>
              <w:left w:val="single" w:color="auto" w:sz="4" w:space="0"/>
            </w:tcBorders>
            <w:vAlign w:val="center"/>
          </w:tcPr>
          <w:p>
            <w:pPr>
              <w:jc w:val="right"/>
              <w:rPr>
                <w:rFonts w:cs="Calibri"/>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915" w:type="dxa"/>
            <w:vAlign w:val="center"/>
          </w:tcPr>
          <w:p>
            <w:pPr>
              <w:jc w:val="center"/>
              <w:rPr>
                <w:rFonts w:cs="Calibri"/>
                <w:bCs/>
                <w:szCs w:val="21"/>
              </w:rPr>
            </w:pPr>
          </w:p>
        </w:tc>
        <w:tc>
          <w:tcPr>
            <w:tcW w:w="3155" w:type="dxa"/>
            <w:vAlign w:val="center"/>
          </w:tcPr>
          <w:p>
            <w:pPr>
              <w:jc w:val="center"/>
              <w:rPr>
                <w:rFonts w:cs="Calibri"/>
                <w:szCs w:val="21"/>
              </w:rPr>
            </w:pPr>
            <w:r>
              <w:rPr>
                <w:rFonts w:hint="eastAsia" w:cs="Calibri"/>
                <w:szCs w:val="21"/>
              </w:rPr>
              <w:t>合  计</w:t>
            </w:r>
          </w:p>
        </w:tc>
        <w:tc>
          <w:tcPr>
            <w:tcW w:w="4536" w:type="dxa"/>
            <w:tcBorders>
              <w:left w:val="single" w:color="auto" w:sz="4" w:space="0"/>
            </w:tcBorders>
            <w:vAlign w:val="center"/>
          </w:tcPr>
          <w:p>
            <w:pPr>
              <w:jc w:val="right"/>
              <w:rPr>
                <w:rFonts w:cs="Calibri"/>
                <w:bCs/>
                <w:szCs w:val="21"/>
              </w:rPr>
            </w:pPr>
          </w:p>
        </w:tc>
      </w:tr>
    </w:tbl>
    <w:p>
      <w:pPr>
        <w:adjustRightInd w:val="0"/>
        <w:snapToGrid w:val="0"/>
        <w:jc w:val="left"/>
        <w:rPr>
          <w:rFonts w:cs="Calibri"/>
          <w:b/>
          <w:szCs w:val="21"/>
        </w:rPr>
      </w:pPr>
    </w:p>
    <w:p>
      <w:pPr>
        <w:adjustRightInd w:val="0"/>
        <w:snapToGrid w:val="0"/>
        <w:jc w:val="left"/>
        <w:rPr>
          <w:rFonts w:cs="Calibri"/>
          <w:b/>
          <w:szCs w:val="21"/>
        </w:rPr>
      </w:pPr>
    </w:p>
    <w:p>
      <w:pPr>
        <w:adjustRightInd w:val="0"/>
        <w:snapToGrid w:val="0"/>
        <w:jc w:val="left"/>
        <w:rPr>
          <w:rFonts w:cs="Calibri"/>
          <w:b/>
          <w:szCs w:val="21"/>
        </w:rPr>
      </w:pPr>
    </w:p>
    <w:p>
      <w:pPr>
        <w:adjustRightInd w:val="0"/>
        <w:snapToGrid w:val="0"/>
        <w:jc w:val="left"/>
        <w:rPr>
          <w:rFonts w:cs="Calibri"/>
          <w:b/>
          <w:szCs w:val="21"/>
        </w:rPr>
      </w:pPr>
    </w:p>
    <w:p>
      <w:pPr>
        <w:adjustRightInd w:val="0"/>
        <w:snapToGrid w:val="0"/>
        <w:jc w:val="left"/>
        <w:rPr>
          <w:rFonts w:cs="Calibri"/>
          <w:b/>
          <w:szCs w:val="21"/>
        </w:rPr>
      </w:pPr>
    </w:p>
    <w:p>
      <w:pPr>
        <w:snapToGrid w:val="0"/>
        <w:spacing w:line="440" w:lineRule="exact"/>
        <w:ind w:firstLine="3969" w:firstLineChars="1890"/>
        <w:rPr>
          <w:rFonts w:cs="Calibri"/>
          <w:color w:val="000000"/>
          <w:szCs w:val="21"/>
        </w:rPr>
      </w:pPr>
      <w:r>
        <w:rPr>
          <w:rFonts w:cs="Calibri"/>
          <w:color w:val="000000"/>
          <w:szCs w:val="21"/>
        </w:rPr>
        <w:t>投标人：（盖单位章）</w:t>
      </w:r>
    </w:p>
    <w:p>
      <w:pPr>
        <w:snapToGrid w:val="0"/>
        <w:spacing w:line="440" w:lineRule="exact"/>
        <w:ind w:firstLine="3969" w:firstLineChars="1890"/>
        <w:rPr>
          <w:rFonts w:cs="Calibri"/>
          <w:color w:val="000000"/>
          <w:szCs w:val="21"/>
        </w:rPr>
      </w:pPr>
      <w:r>
        <w:rPr>
          <w:rFonts w:cs="Calibri"/>
          <w:color w:val="000000"/>
          <w:szCs w:val="21"/>
        </w:rPr>
        <w:t>法定代表人或其委托代理人：（签字或盖章）</w:t>
      </w:r>
    </w:p>
    <w:p>
      <w:pPr>
        <w:snapToGrid w:val="0"/>
        <w:spacing w:line="440" w:lineRule="exact"/>
        <w:ind w:firstLine="3969" w:firstLineChars="1890"/>
        <w:rPr>
          <w:rFonts w:cs="Calibri"/>
          <w:color w:val="000000"/>
          <w:szCs w:val="21"/>
        </w:rPr>
      </w:pPr>
      <w:r>
        <w:rPr>
          <w:rFonts w:cs="Calibri"/>
          <w:color w:val="000000"/>
          <w:szCs w:val="21"/>
        </w:rPr>
        <w:t>日期：    年     月     日</w:t>
      </w:r>
    </w:p>
    <w:p>
      <w:pPr>
        <w:adjustRightInd w:val="0"/>
        <w:snapToGrid w:val="0"/>
        <w:jc w:val="left"/>
        <w:rPr>
          <w:rFonts w:cs="Calibri"/>
          <w:b/>
          <w:szCs w:val="21"/>
        </w:rPr>
      </w:pPr>
    </w:p>
    <w:p>
      <w:pPr>
        <w:spacing w:line="440" w:lineRule="exact"/>
        <w:rPr>
          <w:rFonts w:cs="Calibri"/>
          <w:b/>
          <w:bCs/>
          <w:color w:val="000000"/>
          <w:sz w:val="32"/>
        </w:rPr>
      </w:pPr>
      <w:r>
        <w:rPr>
          <w:rFonts w:eastAsia="黑体" w:cs="Calibri"/>
          <w:bCs/>
          <w:color w:val="000000"/>
          <w:szCs w:val="21"/>
        </w:rPr>
        <w:br w:type="page"/>
      </w:r>
    </w:p>
    <w:p>
      <w:pPr>
        <w:spacing w:line="440" w:lineRule="exact"/>
        <w:jc w:val="center"/>
        <w:rPr>
          <w:rFonts w:eastAsia="黑体" w:cs="Calibri"/>
          <w:color w:val="000000"/>
          <w:sz w:val="32"/>
          <w:szCs w:val="32"/>
        </w:rPr>
      </w:pPr>
      <w:r>
        <w:rPr>
          <w:rFonts w:eastAsia="黑体" w:cs="Calibri"/>
          <w:color w:val="000000"/>
          <w:sz w:val="32"/>
          <w:szCs w:val="32"/>
        </w:rPr>
        <w:t>五、投标人资格证明文件</w:t>
      </w:r>
    </w:p>
    <w:p>
      <w:pPr>
        <w:spacing w:line="440" w:lineRule="exact"/>
        <w:jc w:val="center"/>
        <w:rPr>
          <w:rFonts w:eastAsia="黑体" w:cs="Calibri"/>
          <w:color w:val="000000"/>
          <w:sz w:val="32"/>
          <w:szCs w:val="32"/>
        </w:rPr>
      </w:pPr>
    </w:p>
    <w:p>
      <w:pPr>
        <w:spacing w:line="440" w:lineRule="exact"/>
        <w:jc w:val="center"/>
        <w:rPr>
          <w:rFonts w:eastAsia="黑体" w:cs="Calibri"/>
          <w:color w:val="000000"/>
          <w:sz w:val="32"/>
          <w:szCs w:val="32"/>
        </w:rPr>
      </w:pPr>
      <w:r>
        <w:rPr>
          <w:rFonts w:eastAsia="黑体" w:cs="Calibri"/>
          <w:color w:val="000000"/>
          <w:sz w:val="32"/>
          <w:szCs w:val="32"/>
        </w:rPr>
        <w:t>（一）投标人一般情况</w:t>
      </w:r>
    </w:p>
    <w:tbl>
      <w:tblPr>
        <w:tblStyle w:val="53"/>
        <w:tblW w:w="9360"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80"/>
        <w:gridCol w:w="1030"/>
        <w:gridCol w:w="215"/>
        <w:gridCol w:w="1011"/>
        <w:gridCol w:w="360"/>
        <w:gridCol w:w="709"/>
        <w:gridCol w:w="95"/>
        <w:gridCol w:w="620"/>
        <w:gridCol w:w="215"/>
        <w:gridCol w:w="771"/>
        <w:gridCol w:w="126"/>
        <w:gridCol w:w="1008"/>
        <w:gridCol w:w="30"/>
        <w:gridCol w:w="11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企业名称</w:t>
            </w:r>
          </w:p>
        </w:tc>
        <w:tc>
          <w:tcPr>
            <w:tcW w:w="7380" w:type="dxa"/>
            <w:gridSpan w:val="13"/>
            <w:tcBorders>
              <w:top w:val="single" w:color="auto" w:sz="4" w:space="0"/>
              <w:left w:val="single" w:color="auto" w:sz="4" w:space="0"/>
              <w:bottom w:val="single" w:color="auto" w:sz="4" w:space="0"/>
              <w:right w:val="single" w:color="auto" w:sz="4" w:space="0"/>
            </w:tcBorders>
            <w:vAlign w:val="center"/>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企业地址</w:t>
            </w:r>
          </w:p>
        </w:tc>
        <w:tc>
          <w:tcPr>
            <w:tcW w:w="7380" w:type="dxa"/>
            <w:gridSpan w:val="13"/>
            <w:tcBorders>
              <w:top w:val="single" w:color="auto" w:sz="4" w:space="0"/>
              <w:left w:val="single" w:color="auto" w:sz="4" w:space="0"/>
              <w:bottom w:val="single" w:color="auto" w:sz="4" w:space="0"/>
              <w:right w:val="single" w:color="auto" w:sz="4" w:space="0"/>
            </w:tcBorders>
            <w:vAlign w:val="center"/>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103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电话</w:t>
            </w:r>
          </w:p>
        </w:tc>
        <w:tc>
          <w:tcPr>
            <w:tcW w:w="3010"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111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传真</w:t>
            </w:r>
          </w:p>
        </w:tc>
        <w:tc>
          <w:tcPr>
            <w:tcW w:w="2228"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企业成立年份</w:t>
            </w:r>
          </w:p>
        </w:tc>
        <w:tc>
          <w:tcPr>
            <w:tcW w:w="7380" w:type="dxa"/>
            <w:gridSpan w:val="13"/>
            <w:tcBorders>
              <w:top w:val="single" w:color="auto" w:sz="4" w:space="0"/>
              <w:left w:val="single" w:color="auto" w:sz="4" w:space="0"/>
              <w:bottom w:val="single" w:color="auto" w:sz="4" w:space="0"/>
              <w:right w:val="single" w:color="auto" w:sz="4" w:space="0"/>
            </w:tcBorders>
            <w:vAlign w:val="center"/>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企业性质</w:t>
            </w:r>
          </w:p>
        </w:tc>
        <w:tc>
          <w:tcPr>
            <w:tcW w:w="2256"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1999" w:type="dxa"/>
            <w:gridSpan w:val="5"/>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上级主管部门</w:t>
            </w:r>
          </w:p>
        </w:tc>
        <w:tc>
          <w:tcPr>
            <w:tcW w:w="3125" w:type="dxa"/>
            <w:gridSpan w:val="5"/>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企业法人</w:t>
            </w:r>
          </w:p>
        </w:tc>
        <w:tc>
          <w:tcPr>
            <w:tcW w:w="1245"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1011"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职务</w:t>
            </w:r>
          </w:p>
        </w:tc>
        <w:tc>
          <w:tcPr>
            <w:tcW w:w="1999" w:type="dxa"/>
            <w:gridSpan w:val="5"/>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897"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职称</w:t>
            </w:r>
          </w:p>
        </w:tc>
        <w:tc>
          <w:tcPr>
            <w:tcW w:w="2228"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企业技术</w:t>
            </w:r>
          </w:p>
          <w:p>
            <w:pPr>
              <w:snapToGrid w:val="0"/>
              <w:jc w:val="center"/>
              <w:rPr>
                <w:rFonts w:cs="Calibri"/>
                <w:szCs w:val="21"/>
              </w:rPr>
            </w:pPr>
            <w:r>
              <w:rPr>
                <w:rFonts w:cs="Calibri"/>
                <w:szCs w:val="21"/>
              </w:rPr>
              <w:t>负责人</w:t>
            </w:r>
          </w:p>
        </w:tc>
        <w:tc>
          <w:tcPr>
            <w:tcW w:w="1245"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1011"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职务</w:t>
            </w:r>
          </w:p>
        </w:tc>
        <w:tc>
          <w:tcPr>
            <w:tcW w:w="1999" w:type="dxa"/>
            <w:gridSpan w:val="5"/>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897"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职称</w:t>
            </w:r>
          </w:p>
        </w:tc>
        <w:tc>
          <w:tcPr>
            <w:tcW w:w="2228"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vMerge w:val="restart"/>
            <w:tcBorders>
              <w:top w:val="single" w:color="auto" w:sz="4" w:space="0"/>
              <w:left w:val="single" w:color="auto" w:sz="4" w:space="0"/>
              <w:bottom w:val="single" w:color="auto" w:sz="4" w:space="0"/>
              <w:right w:val="single" w:color="auto" w:sz="4" w:space="0"/>
            </w:tcBorders>
          </w:tcPr>
          <w:p>
            <w:pPr>
              <w:snapToGrid w:val="0"/>
              <w:jc w:val="center"/>
              <w:rPr>
                <w:rFonts w:cs="Calibri"/>
                <w:szCs w:val="21"/>
              </w:rPr>
            </w:pPr>
          </w:p>
          <w:p>
            <w:pPr>
              <w:snapToGrid w:val="0"/>
              <w:ind w:firstLine="210" w:firstLineChars="100"/>
              <w:jc w:val="center"/>
              <w:rPr>
                <w:rFonts w:cs="Calibri"/>
                <w:szCs w:val="21"/>
              </w:rPr>
            </w:pPr>
            <w:r>
              <w:rPr>
                <w:rFonts w:cs="Calibri"/>
                <w:szCs w:val="21"/>
              </w:rPr>
              <w:t>企业编制人数</w:t>
            </w:r>
          </w:p>
        </w:tc>
        <w:tc>
          <w:tcPr>
            <w:tcW w:w="3420"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在册人数</w:t>
            </w:r>
          </w:p>
        </w:tc>
        <w:tc>
          <w:tcPr>
            <w:tcW w:w="3960" w:type="dxa"/>
            <w:gridSpan w:val="7"/>
            <w:tcBorders>
              <w:top w:val="single" w:color="auto" w:sz="4" w:space="0"/>
              <w:left w:val="single" w:color="auto" w:sz="4" w:space="0"/>
              <w:bottom w:val="single" w:color="auto" w:sz="4" w:space="0"/>
              <w:right w:val="single" w:color="auto" w:sz="4" w:space="0"/>
            </w:tcBorders>
          </w:tcPr>
          <w:p>
            <w:pPr>
              <w:snapToGrid w:val="0"/>
              <w:jc w:val="center"/>
              <w:rPr>
                <w:rFonts w:cs="Calibri"/>
                <w:szCs w:val="21"/>
              </w:rPr>
            </w:pPr>
            <w:r>
              <w:rPr>
                <w:rFonts w:cs="Calibri"/>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3420"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高级职称（其中注册人员）</w:t>
            </w:r>
          </w:p>
        </w:tc>
        <w:tc>
          <w:tcPr>
            <w:tcW w:w="3960" w:type="dxa"/>
            <w:gridSpan w:val="7"/>
            <w:tcBorders>
              <w:top w:val="single" w:color="auto" w:sz="4" w:space="0"/>
              <w:left w:val="single" w:color="auto" w:sz="4" w:space="0"/>
              <w:bottom w:val="single" w:color="auto" w:sz="4" w:space="0"/>
              <w:right w:val="single" w:color="auto" w:sz="4" w:space="0"/>
            </w:tcBorders>
          </w:tcPr>
          <w:p>
            <w:pPr>
              <w:snapToGrid w:val="0"/>
              <w:jc w:val="center"/>
              <w:rPr>
                <w:rFonts w:cs="Calibri"/>
                <w:szCs w:val="21"/>
              </w:rPr>
            </w:pPr>
            <w:r>
              <w:rPr>
                <w:rFonts w:cs="Calibri"/>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3420"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中级职称（其中注册人员）</w:t>
            </w:r>
          </w:p>
        </w:tc>
        <w:tc>
          <w:tcPr>
            <w:tcW w:w="3960" w:type="dxa"/>
            <w:gridSpan w:val="7"/>
            <w:tcBorders>
              <w:top w:val="single" w:color="auto" w:sz="4" w:space="0"/>
              <w:left w:val="single" w:color="auto" w:sz="4" w:space="0"/>
              <w:bottom w:val="single" w:color="auto" w:sz="4" w:space="0"/>
              <w:right w:val="single" w:color="auto" w:sz="4" w:space="0"/>
            </w:tcBorders>
          </w:tcPr>
          <w:p>
            <w:pPr>
              <w:snapToGrid w:val="0"/>
              <w:jc w:val="center"/>
              <w:rPr>
                <w:rFonts w:cs="Calibri"/>
                <w:szCs w:val="21"/>
              </w:rPr>
            </w:pPr>
            <w:r>
              <w:rPr>
                <w:rFonts w:cs="Calibri"/>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3420"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初级职称</w:t>
            </w:r>
          </w:p>
        </w:tc>
        <w:tc>
          <w:tcPr>
            <w:tcW w:w="3960" w:type="dxa"/>
            <w:gridSpan w:val="7"/>
            <w:tcBorders>
              <w:top w:val="single" w:color="auto" w:sz="4" w:space="0"/>
              <w:left w:val="single" w:color="auto" w:sz="4" w:space="0"/>
              <w:bottom w:val="single" w:color="auto" w:sz="4" w:space="0"/>
              <w:right w:val="single" w:color="auto" w:sz="4" w:space="0"/>
            </w:tcBorders>
          </w:tcPr>
          <w:p>
            <w:pPr>
              <w:snapToGrid w:val="0"/>
              <w:jc w:val="center"/>
              <w:rPr>
                <w:rFonts w:cs="Calibri"/>
                <w:szCs w:val="21"/>
              </w:rPr>
            </w:pPr>
            <w:r>
              <w:rPr>
                <w:rFonts w:cs="Calibri"/>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p>
            <w:pPr>
              <w:snapToGrid w:val="0"/>
              <w:ind w:firstLine="210" w:firstLineChars="100"/>
              <w:jc w:val="center"/>
              <w:rPr>
                <w:rFonts w:cs="Calibri"/>
                <w:szCs w:val="21"/>
              </w:rPr>
            </w:pPr>
            <w:r>
              <w:rPr>
                <w:rFonts w:cs="Calibri"/>
                <w:szCs w:val="21"/>
              </w:rPr>
              <w:t>企业资质等级及证号</w:t>
            </w:r>
          </w:p>
        </w:tc>
        <w:tc>
          <w:tcPr>
            <w:tcW w:w="2616" w:type="dxa"/>
            <w:gridSpan w:val="4"/>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证号</w:t>
            </w:r>
          </w:p>
        </w:tc>
        <w:tc>
          <w:tcPr>
            <w:tcW w:w="1701" w:type="dxa"/>
            <w:gridSpan w:val="4"/>
            <w:tcBorders>
              <w:top w:val="single" w:color="auto" w:sz="4" w:space="0"/>
              <w:left w:val="single" w:color="auto" w:sz="4" w:space="0"/>
              <w:bottom w:val="single" w:color="auto" w:sz="4" w:space="0"/>
              <w:right w:val="single" w:color="auto" w:sz="4" w:space="0"/>
            </w:tcBorders>
          </w:tcPr>
          <w:p>
            <w:pPr>
              <w:snapToGrid w:val="0"/>
              <w:rPr>
                <w:rFonts w:cs="Calibri"/>
                <w:szCs w:val="21"/>
              </w:rPr>
            </w:pPr>
            <w:r>
              <w:rPr>
                <w:rFonts w:cs="Calibri"/>
                <w:szCs w:val="21"/>
              </w:rPr>
              <w:t xml:space="preserve"> </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取得时间</w:t>
            </w:r>
          </w:p>
        </w:tc>
        <w:tc>
          <w:tcPr>
            <w:tcW w:w="1220" w:type="dxa"/>
            <w:gridSpan w:val="2"/>
            <w:tcBorders>
              <w:top w:val="single" w:color="auto" w:sz="4" w:space="0"/>
              <w:left w:val="single" w:color="auto" w:sz="4" w:space="0"/>
              <w:bottom w:val="single" w:color="auto" w:sz="4" w:space="0"/>
              <w:right w:val="single" w:color="auto" w:sz="4" w:space="0"/>
            </w:tcBorders>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vMerge w:val="continue"/>
            <w:tcBorders>
              <w:top w:val="single" w:color="auto" w:sz="4" w:space="0"/>
              <w:left w:val="single" w:color="auto" w:sz="4" w:space="0"/>
              <w:bottom w:val="single" w:color="auto" w:sz="4" w:space="0"/>
              <w:right w:val="single" w:color="auto" w:sz="4" w:space="0"/>
            </w:tcBorders>
          </w:tcPr>
          <w:p>
            <w:pPr>
              <w:snapToGrid w:val="0"/>
              <w:jc w:val="center"/>
              <w:rPr>
                <w:rFonts w:cs="Calibri"/>
                <w:szCs w:val="21"/>
              </w:rPr>
            </w:pPr>
          </w:p>
        </w:tc>
        <w:tc>
          <w:tcPr>
            <w:tcW w:w="2616" w:type="dxa"/>
            <w:gridSpan w:val="4"/>
            <w:tcBorders>
              <w:top w:val="single" w:color="auto" w:sz="4" w:space="0"/>
              <w:left w:val="single" w:color="auto" w:sz="4" w:space="0"/>
              <w:bottom w:val="single" w:color="auto" w:sz="4" w:space="0"/>
              <w:right w:val="single" w:color="auto" w:sz="4" w:space="0"/>
            </w:tcBorders>
          </w:tcPr>
          <w:p>
            <w:pPr>
              <w:snapToGrid w:val="0"/>
              <w:jc w:val="center"/>
              <w:rPr>
                <w:rFonts w:cs="Calibri"/>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证号</w:t>
            </w:r>
          </w:p>
        </w:tc>
        <w:tc>
          <w:tcPr>
            <w:tcW w:w="1701" w:type="dxa"/>
            <w:gridSpan w:val="4"/>
            <w:tcBorders>
              <w:top w:val="single" w:color="auto" w:sz="4" w:space="0"/>
              <w:left w:val="single" w:color="auto" w:sz="4" w:space="0"/>
              <w:bottom w:val="single" w:color="auto" w:sz="4" w:space="0"/>
              <w:right w:val="single" w:color="auto" w:sz="4" w:space="0"/>
            </w:tcBorders>
          </w:tcPr>
          <w:p>
            <w:pPr>
              <w:snapToGrid w:val="0"/>
              <w:jc w:val="center"/>
              <w:rPr>
                <w:rFonts w:cs="Calibri"/>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取得时间</w:t>
            </w:r>
          </w:p>
        </w:tc>
        <w:tc>
          <w:tcPr>
            <w:tcW w:w="1220" w:type="dxa"/>
            <w:gridSpan w:val="2"/>
            <w:tcBorders>
              <w:top w:val="single" w:color="auto" w:sz="4" w:space="0"/>
              <w:left w:val="single" w:color="auto" w:sz="4" w:space="0"/>
              <w:bottom w:val="single" w:color="auto" w:sz="4" w:space="0"/>
              <w:right w:val="single" w:color="auto" w:sz="4" w:space="0"/>
            </w:tcBorders>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2616" w:type="dxa"/>
            <w:gridSpan w:val="4"/>
            <w:tcBorders>
              <w:top w:val="single" w:color="auto" w:sz="4" w:space="0"/>
              <w:left w:val="single" w:color="auto" w:sz="4" w:space="0"/>
              <w:bottom w:val="single" w:color="auto" w:sz="4" w:space="0"/>
              <w:right w:val="single" w:color="auto" w:sz="4" w:space="0"/>
            </w:tcBorders>
          </w:tcPr>
          <w:p>
            <w:pPr>
              <w:snapToGrid w:val="0"/>
              <w:jc w:val="center"/>
              <w:rPr>
                <w:rFonts w:cs="Calibri"/>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证号</w:t>
            </w:r>
          </w:p>
        </w:tc>
        <w:tc>
          <w:tcPr>
            <w:tcW w:w="1701" w:type="dxa"/>
            <w:gridSpan w:val="4"/>
            <w:tcBorders>
              <w:top w:val="single" w:color="auto" w:sz="4" w:space="0"/>
              <w:left w:val="single" w:color="auto" w:sz="4" w:space="0"/>
              <w:bottom w:val="single" w:color="auto" w:sz="4" w:space="0"/>
              <w:right w:val="single" w:color="auto" w:sz="4" w:space="0"/>
            </w:tcBorders>
          </w:tcPr>
          <w:p>
            <w:pPr>
              <w:snapToGrid w:val="0"/>
              <w:jc w:val="center"/>
              <w:rPr>
                <w:rFonts w:cs="Calibri"/>
                <w:szCs w:val="21"/>
              </w:rPr>
            </w:pPr>
            <w:r>
              <w:rPr>
                <w:rFonts w:cs="Calibri"/>
                <w:szCs w:val="21"/>
              </w:rPr>
              <w:t xml:space="preserve"> </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取得时间</w:t>
            </w:r>
          </w:p>
        </w:tc>
        <w:tc>
          <w:tcPr>
            <w:tcW w:w="1220" w:type="dxa"/>
            <w:gridSpan w:val="2"/>
            <w:tcBorders>
              <w:top w:val="single" w:color="auto" w:sz="4" w:space="0"/>
              <w:left w:val="single" w:color="auto" w:sz="4" w:space="0"/>
              <w:bottom w:val="single" w:color="auto" w:sz="4" w:space="0"/>
              <w:right w:val="single" w:color="auto" w:sz="4" w:space="0"/>
            </w:tcBorders>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2616" w:type="dxa"/>
            <w:gridSpan w:val="4"/>
            <w:tcBorders>
              <w:top w:val="single" w:color="auto" w:sz="4" w:space="0"/>
              <w:left w:val="single" w:color="auto" w:sz="4" w:space="0"/>
              <w:bottom w:val="single" w:color="auto" w:sz="4" w:space="0"/>
              <w:right w:val="single" w:color="auto" w:sz="4" w:space="0"/>
            </w:tcBorders>
          </w:tcPr>
          <w:p>
            <w:pPr>
              <w:snapToGrid w:val="0"/>
              <w:jc w:val="center"/>
              <w:rPr>
                <w:rFonts w:cs="Calibri"/>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证号</w:t>
            </w:r>
          </w:p>
        </w:tc>
        <w:tc>
          <w:tcPr>
            <w:tcW w:w="1701" w:type="dxa"/>
            <w:gridSpan w:val="4"/>
            <w:tcBorders>
              <w:top w:val="single" w:color="auto" w:sz="4" w:space="0"/>
              <w:left w:val="single" w:color="auto" w:sz="4" w:space="0"/>
              <w:bottom w:val="single" w:color="auto" w:sz="4" w:space="0"/>
              <w:right w:val="single" w:color="auto" w:sz="4" w:space="0"/>
            </w:tcBorders>
          </w:tcPr>
          <w:p>
            <w:pPr>
              <w:snapToGrid w:val="0"/>
              <w:jc w:val="center"/>
              <w:rPr>
                <w:rFonts w:cs="Calibri"/>
                <w:szCs w:val="21"/>
              </w:rPr>
            </w:pPr>
            <w:r>
              <w:rPr>
                <w:rFonts w:cs="Calibri"/>
                <w:szCs w:val="21"/>
              </w:rPr>
              <w:t xml:space="preserve"> </w:t>
            </w:r>
          </w:p>
        </w:tc>
        <w:tc>
          <w:tcPr>
            <w:tcW w:w="113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取得时间</w:t>
            </w:r>
          </w:p>
        </w:tc>
        <w:tc>
          <w:tcPr>
            <w:tcW w:w="1220" w:type="dxa"/>
            <w:gridSpan w:val="2"/>
            <w:tcBorders>
              <w:top w:val="single" w:color="auto" w:sz="4" w:space="0"/>
              <w:left w:val="single" w:color="auto" w:sz="4" w:space="0"/>
              <w:bottom w:val="single" w:color="auto" w:sz="4" w:space="0"/>
              <w:right w:val="single" w:color="auto" w:sz="4" w:space="0"/>
            </w:tcBorders>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工商营业执照及营业范围</w:t>
            </w:r>
          </w:p>
        </w:tc>
        <w:tc>
          <w:tcPr>
            <w:tcW w:w="7380" w:type="dxa"/>
            <w:gridSpan w:val="13"/>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p>
            <w:pPr>
              <w:snapToGrid w:val="0"/>
              <w:jc w:val="center"/>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注册资金</w:t>
            </w:r>
          </w:p>
        </w:tc>
        <w:tc>
          <w:tcPr>
            <w:tcW w:w="7380" w:type="dxa"/>
            <w:gridSpan w:val="13"/>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开户银行及帐号</w:t>
            </w:r>
          </w:p>
        </w:tc>
        <w:tc>
          <w:tcPr>
            <w:tcW w:w="7380" w:type="dxa"/>
            <w:gridSpan w:val="13"/>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联系人姓名</w:t>
            </w:r>
          </w:p>
          <w:p>
            <w:pPr>
              <w:snapToGrid w:val="0"/>
              <w:jc w:val="center"/>
              <w:rPr>
                <w:rFonts w:cs="Calibri"/>
                <w:szCs w:val="21"/>
              </w:rPr>
            </w:pPr>
            <w:r>
              <w:rPr>
                <w:rFonts w:cs="Calibri"/>
                <w:szCs w:val="21"/>
              </w:rPr>
              <w:t>及电话号码</w:t>
            </w:r>
          </w:p>
        </w:tc>
        <w:tc>
          <w:tcPr>
            <w:tcW w:w="2256" w:type="dxa"/>
            <w:gridSpan w:val="3"/>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1999" w:type="dxa"/>
            <w:gridSpan w:val="5"/>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过去3年完成</w:t>
            </w:r>
          </w:p>
          <w:p>
            <w:pPr>
              <w:snapToGrid w:val="0"/>
              <w:jc w:val="center"/>
              <w:rPr>
                <w:rFonts w:cs="Calibri"/>
                <w:szCs w:val="21"/>
              </w:rPr>
            </w:pPr>
            <w:r>
              <w:rPr>
                <w:rFonts w:cs="Calibri"/>
                <w:szCs w:val="21"/>
              </w:rPr>
              <w:t>产值/人均产值</w:t>
            </w:r>
          </w:p>
        </w:tc>
        <w:tc>
          <w:tcPr>
            <w:tcW w:w="1935"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119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980"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rPr>
                <w:rFonts w:cs="Calibri"/>
                <w:szCs w:val="21"/>
              </w:rPr>
            </w:pPr>
          </w:p>
        </w:tc>
        <w:tc>
          <w:tcPr>
            <w:tcW w:w="2256"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snapToGrid w:val="0"/>
              <w:rPr>
                <w:rFonts w:cs="Calibri"/>
                <w:szCs w:val="21"/>
              </w:rPr>
            </w:pPr>
          </w:p>
        </w:tc>
        <w:tc>
          <w:tcPr>
            <w:tcW w:w="1999" w:type="dxa"/>
            <w:gridSpan w:val="5"/>
            <w:vMerge w:val="continue"/>
            <w:tcBorders>
              <w:top w:val="single" w:color="auto" w:sz="4" w:space="0"/>
              <w:left w:val="single" w:color="auto" w:sz="4" w:space="0"/>
              <w:bottom w:val="single" w:color="auto" w:sz="4" w:space="0"/>
              <w:right w:val="single" w:color="auto" w:sz="4" w:space="0"/>
            </w:tcBorders>
            <w:vAlign w:val="center"/>
          </w:tcPr>
          <w:p>
            <w:pPr>
              <w:widowControl/>
              <w:snapToGrid w:val="0"/>
              <w:rPr>
                <w:rFonts w:cs="Calibri"/>
                <w:szCs w:val="21"/>
              </w:rPr>
            </w:pPr>
          </w:p>
        </w:tc>
        <w:tc>
          <w:tcPr>
            <w:tcW w:w="1935" w:type="dxa"/>
            <w:gridSpan w:val="4"/>
            <w:tcBorders>
              <w:top w:val="single" w:color="auto" w:sz="4" w:space="0"/>
              <w:left w:val="single" w:color="auto" w:sz="4" w:space="0"/>
              <w:bottom w:val="single" w:color="auto" w:sz="4" w:space="0"/>
              <w:right w:val="single" w:color="auto" w:sz="4" w:space="0"/>
            </w:tcBorders>
          </w:tcPr>
          <w:p>
            <w:pPr>
              <w:snapToGrid w:val="0"/>
              <w:rPr>
                <w:rFonts w:cs="Calibri"/>
                <w:szCs w:val="21"/>
              </w:rPr>
            </w:pPr>
            <w:r>
              <w:rPr>
                <w:rFonts w:cs="Calibri"/>
                <w:szCs w:val="21"/>
              </w:rPr>
              <w:t xml:space="preserve">        </w:t>
            </w:r>
          </w:p>
        </w:tc>
        <w:tc>
          <w:tcPr>
            <w:tcW w:w="1190" w:type="dxa"/>
            <w:tcBorders>
              <w:top w:val="single" w:color="auto" w:sz="4" w:space="0"/>
              <w:left w:val="single" w:color="auto" w:sz="4" w:space="0"/>
              <w:bottom w:val="single" w:color="auto" w:sz="4" w:space="0"/>
              <w:right w:val="single" w:color="auto" w:sz="4" w:space="0"/>
            </w:tcBorders>
          </w:tcPr>
          <w:p>
            <w:pPr>
              <w:snapToGrid w:val="0"/>
              <w:rPr>
                <w:rFonts w:cs="Calibri"/>
                <w:szCs w:val="21"/>
              </w:rPr>
            </w:pPr>
            <w:r>
              <w:rPr>
                <w:rFonts w:cs="Calibri"/>
                <w:szCs w:val="21"/>
              </w:rPr>
              <w:t xml:space="preserve">        </w:t>
            </w:r>
          </w:p>
        </w:tc>
      </w:tr>
    </w:tbl>
    <w:p>
      <w:pPr>
        <w:spacing w:line="360" w:lineRule="auto"/>
        <w:jc w:val="center"/>
        <w:rPr>
          <w:rFonts w:cs="Calibri"/>
          <w:b/>
          <w:sz w:val="36"/>
          <w:szCs w:val="36"/>
        </w:rPr>
      </w:pPr>
    </w:p>
    <w:p>
      <w:pPr>
        <w:spacing w:line="360" w:lineRule="auto"/>
        <w:jc w:val="center"/>
        <w:rPr>
          <w:rFonts w:cs="Calibri"/>
          <w:b/>
          <w:sz w:val="36"/>
          <w:szCs w:val="36"/>
        </w:rPr>
      </w:pPr>
    </w:p>
    <w:p>
      <w:pPr>
        <w:spacing w:line="360" w:lineRule="auto"/>
        <w:jc w:val="center"/>
        <w:rPr>
          <w:rFonts w:cs="Calibri"/>
          <w:b/>
          <w:sz w:val="36"/>
          <w:szCs w:val="36"/>
        </w:rPr>
      </w:pPr>
    </w:p>
    <w:p>
      <w:pPr>
        <w:widowControl/>
        <w:jc w:val="left"/>
        <w:rPr>
          <w:rFonts w:cs="Calibri"/>
          <w:b/>
          <w:sz w:val="36"/>
          <w:szCs w:val="36"/>
        </w:rPr>
      </w:pPr>
      <w:r>
        <w:rPr>
          <w:rFonts w:cs="Calibri"/>
          <w:b/>
          <w:sz w:val="36"/>
          <w:szCs w:val="36"/>
        </w:rPr>
        <w:br w:type="page"/>
      </w:r>
    </w:p>
    <w:p>
      <w:pPr>
        <w:spacing w:line="440" w:lineRule="exact"/>
        <w:jc w:val="center"/>
        <w:rPr>
          <w:rFonts w:eastAsia="黑体" w:cs="Calibri"/>
          <w:color w:val="000000"/>
          <w:sz w:val="32"/>
          <w:szCs w:val="32"/>
        </w:rPr>
      </w:pPr>
      <w:r>
        <w:rPr>
          <w:rFonts w:eastAsia="黑体" w:cs="Calibri"/>
          <w:color w:val="000000"/>
          <w:sz w:val="32"/>
          <w:szCs w:val="32"/>
        </w:rPr>
        <w:t>（二）近</w:t>
      </w:r>
      <w:r>
        <w:rPr>
          <w:rFonts w:hint="eastAsia" w:eastAsia="黑体" w:cs="Calibri"/>
          <w:color w:val="000000"/>
          <w:sz w:val="32"/>
          <w:szCs w:val="32"/>
        </w:rPr>
        <w:t>五</w:t>
      </w:r>
      <w:r>
        <w:rPr>
          <w:rFonts w:eastAsia="黑体" w:cs="Calibri"/>
          <w:color w:val="000000"/>
          <w:sz w:val="32"/>
          <w:szCs w:val="32"/>
        </w:rPr>
        <w:t>年完成类似</w:t>
      </w:r>
      <w:r>
        <w:rPr>
          <w:rFonts w:hint="eastAsia" w:eastAsia="黑体" w:cs="Calibri"/>
          <w:color w:val="000000"/>
          <w:sz w:val="32"/>
          <w:szCs w:val="32"/>
        </w:rPr>
        <w:t>项目业绩</w:t>
      </w:r>
      <w:r>
        <w:rPr>
          <w:rFonts w:eastAsia="黑体" w:cs="Calibri"/>
          <w:color w:val="000000"/>
          <w:sz w:val="32"/>
          <w:szCs w:val="32"/>
        </w:rPr>
        <w:t>情况</w:t>
      </w:r>
    </w:p>
    <w:tbl>
      <w:tblPr>
        <w:tblStyle w:val="53"/>
        <w:tblpPr w:leftFromText="180" w:rightFromText="180" w:vertAnchor="text" w:horzAnchor="margin" w:tblpXSpec="center" w:tblpY="317"/>
        <w:tblW w:w="964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68"/>
        <w:gridCol w:w="2340"/>
        <w:gridCol w:w="876"/>
        <w:gridCol w:w="1356"/>
        <w:gridCol w:w="1596"/>
        <w:gridCol w:w="12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建设单位</w:t>
            </w:r>
          </w:p>
        </w:tc>
        <w:tc>
          <w:tcPr>
            <w:tcW w:w="2340"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项目名称</w:t>
            </w:r>
          </w:p>
          <w:p>
            <w:pPr>
              <w:snapToGrid w:val="0"/>
              <w:jc w:val="center"/>
              <w:rPr>
                <w:rFonts w:cs="Calibri"/>
                <w:szCs w:val="21"/>
              </w:rPr>
            </w:pPr>
            <w:r>
              <w:rPr>
                <w:rFonts w:cs="Calibri"/>
                <w:szCs w:val="21"/>
              </w:rPr>
              <w:t>及建设地点</w:t>
            </w:r>
          </w:p>
        </w:tc>
        <w:tc>
          <w:tcPr>
            <w:tcW w:w="8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类型</w:t>
            </w:r>
          </w:p>
        </w:tc>
        <w:tc>
          <w:tcPr>
            <w:tcW w:w="1356"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建设规模</w:t>
            </w:r>
          </w:p>
        </w:tc>
        <w:tc>
          <w:tcPr>
            <w:tcW w:w="1596"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开竣工日期</w:t>
            </w:r>
          </w:p>
        </w:tc>
        <w:tc>
          <w:tcPr>
            <w:tcW w:w="1212"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质量达到</w:t>
            </w:r>
          </w:p>
          <w:p>
            <w:pPr>
              <w:snapToGrid w:val="0"/>
              <w:jc w:val="center"/>
              <w:rPr>
                <w:rFonts w:cs="Calibri"/>
                <w:szCs w:val="21"/>
              </w:rPr>
            </w:pPr>
            <w:r>
              <w:rPr>
                <w:rFonts w:cs="Calibri"/>
                <w:szCs w:val="21"/>
              </w:rPr>
              <w:t>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2340"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87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35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59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212"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2340"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87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35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59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212"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2340"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87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356" w:type="dxa"/>
            <w:tcBorders>
              <w:top w:val="single" w:color="auto" w:sz="4" w:space="0"/>
              <w:left w:val="single" w:color="auto" w:sz="4" w:space="0"/>
              <w:bottom w:val="single" w:color="auto" w:sz="4" w:space="0"/>
              <w:right w:val="single" w:color="auto" w:sz="4" w:space="0"/>
            </w:tcBorders>
          </w:tcPr>
          <w:p>
            <w:pPr>
              <w:pStyle w:val="24"/>
              <w:spacing w:line="360" w:lineRule="auto"/>
              <w:ind w:left="5250"/>
              <w:rPr>
                <w:rFonts w:ascii="Calibri" w:hAnsi="Calibri" w:cs="Calibri"/>
                <w:kern w:val="2"/>
                <w:sz w:val="21"/>
                <w:szCs w:val="21"/>
              </w:rPr>
            </w:pPr>
          </w:p>
        </w:tc>
        <w:tc>
          <w:tcPr>
            <w:tcW w:w="159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212"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2340"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87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35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59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212"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2340"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87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35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59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212"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2340"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87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35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59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212"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2340"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87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35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59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212"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2340"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87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35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59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212"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2340"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87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35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59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212"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2340"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87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35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59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212"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2340"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87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35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59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212"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268"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2340"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87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35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596"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c>
          <w:tcPr>
            <w:tcW w:w="1212" w:type="dxa"/>
            <w:tcBorders>
              <w:top w:val="single" w:color="auto" w:sz="4" w:space="0"/>
              <w:left w:val="single" w:color="auto" w:sz="4" w:space="0"/>
              <w:bottom w:val="single" w:color="auto" w:sz="4" w:space="0"/>
              <w:right w:val="single" w:color="auto" w:sz="4" w:space="0"/>
            </w:tcBorders>
          </w:tcPr>
          <w:p>
            <w:pPr>
              <w:spacing w:line="360" w:lineRule="auto"/>
              <w:rPr>
                <w:rFonts w:cs="Calibri"/>
                <w:szCs w:val="21"/>
              </w:rPr>
            </w:pPr>
          </w:p>
        </w:tc>
      </w:tr>
    </w:tbl>
    <w:p>
      <w:pPr>
        <w:spacing w:line="360" w:lineRule="auto"/>
        <w:jc w:val="left"/>
        <w:rPr>
          <w:rFonts w:cs="Calibri"/>
          <w:b/>
          <w:sz w:val="36"/>
          <w:szCs w:val="36"/>
        </w:rPr>
      </w:pPr>
      <w:r>
        <w:rPr>
          <w:rFonts w:cs="Calibri"/>
          <w:szCs w:val="21"/>
        </w:rPr>
        <w:t>注：附</w:t>
      </w:r>
      <w:r>
        <w:rPr>
          <w:rFonts w:hint="eastAsia" w:cs="Calibri"/>
          <w:szCs w:val="21"/>
        </w:rPr>
        <w:t>服务</w:t>
      </w:r>
      <w:r>
        <w:rPr>
          <w:rFonts w:cs="Calibri"/>
          <w:szCs w:val="21"/>
        </w:rPr>
        <w:t>合同等相应证明文件</w:t>
      </w:r>
    </w:p>
    <w:p>
      <w:pPr>
        <w:spacing w:line="440" w:lineRule="exact"/>
        <w:jc w:val="center"/>
        <w:rPr>
          <w:rFonts w:eastAsia="黑体" w:cs="Calibri"/>
          <w:color w:val="000000"/>
          <w:sz w:val="32"/>
          <w:szCs w:val="32"/>
        </w:rPr>
      </w:pPr>
    </w:p>
    <w:p>
      <w:pPr>
        <w:spacing w:line="440" w:lineRule="exact"/>
        <w:jc w:val="center"/>
        <w:rPr>
          <w:rFonts w:eastAsia="黑体" w:cs="Calibri"/>
          <w:color w:val="000000"/>
          <w:sz w:val="32"/>
          <w:szCs w:val="32"/>
        </w:rPr>
      </w:pPr>
    </w:p>
    <w:p>
      <w:pPr>
        <w:widowControl/>
        <w:jc w:val="left"/>
        <w:rPr>
          <w:rFonts w:eastAsia="黑体" w:cs="Calibri"/>
          <w:color w:val="000000"/>
          <w:sz w:val="32"/>
          <w:szCs w:val="32"/>
        </w:rPr>
      </w:pPr>
      <w:r>
        <w:rPr>
          <w:rFonts w:eastAsia="黑体" w:cs="Calibri"/>
          <w:color w:val="000000"/>
          <w:sz w:val="32"/>
          <w:szCs w:val="32"/>
        </w:rPr>
        <w:br w:type="page"/>
      </w:r>
    </w:p>
    <w:p>
      <w:pPr>
        <w:spacing w:line="440" w:lineRule="exact"/>
        <w:jc w:val="center"/>
        <w:rPr>
          <w:rFonts w:eastAsia="黑体" w:cs="Calibri"/>
          <w:color w:val="000000"/>
          <w:sz w:val="32"/>
          <w:szCs w:val="32"/>
        </w:rPr>
      </w:pPr>
      <w:r>
        <w:rPr>
          <w:rFonts w:eastAsia="黑体" w:cs="Calibri"/>
          <w:color w:val="000000"/>
          <w:sz w:val="32"/>
          <w:szCs w:val="32"/>
        </w:rPr>
        <w:t>六、</w:t>
      </w:r>
      <w:r>
        <w:rPr>
          <w:rFonts w:hint="eastAsia" w:eastAsia="黑体" w:cs="Calibri"/>
          <w:color w:val="000000"/>
          <w:sz w:val="32"/>
          <w:szCs w:val="32"/>
        </w:rPr>
        <w:t>服务大纲</w:t>
      </w:r>
    </w:p>
    <w:p>
      <w:pPr>
        <w:spacing w:line="440" w:lineRule="exact"/>
        <w:jc w:val="center"/>
        <w:rPr>
          <w:rFonts w:eastAsia="黑体" w:cs="Calibri"/>
          <w:color w:val="000000"/>
          <w:sz w:val="32"/>
          <w:szCs w:val="32"/>
        </w:rPr>
      </w:pPr>
      <w:r>
        <w:rPr>
          <w:rFonts w:eastAsia="黑体" w:cs="Calibri"/>
          <w:color w:val="000000"/>
          <w:sz w:val="32"/>
          <w:szCs w:val="32"/>
        </w:rPr>
        <w:t>（</w:t>
      </w:r>
      <w:r>
        <w:rPr>
          <w:rFonts w:hint="eastAsia" w:eastAsia="黑体" w:cs="Calibri"/>
          <w:color w:val="000000"/>
          <w:sz w:val="32"/>
          <w:szCs w:val="32"/>
        </w:rPr>
        <w:t>一</w:t>
      </w:r>
      <w:r>
        <w:rPr>
          <w:rFonts w:eastAsia="黑体" w:cs="Calibri"/>
          <w:color w:val="000000"/>
          <w:sz w:val="32"/>
          <w:szCs w:val="32"/>
        </w:rPr>
        <w:t>）项目负责人简介</w:t>
      </w:r>
    </w:p>
    <w:tbl>
      <w:tblPr>
        <w:tblStyle w:val="53"/>
        <w:tblW w:w="9623"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57"/>
        <w:gridCol w:w="1857"/>
        <w:gridCol w:w="1857"/>
        <w:gridCol w:w="97"/>
        <w:gridCol w:w="20"/>
        <w:gridCol w:w="1740"/>
        <w:gridCol w:w="60"/>
        <w:gridCol w:w="720"/>
        <w:gridCol w:w="141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8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姓名</w:t>
            </w:r>
          </w:p>
        </w:tc>
        <w:tc>
          <w:tcPr>
            <w:tcW w:w="18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195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性别</w:t>
            </w:r>
          </w:p>
        </w:tc>
        <w:tc>
          <w:tcPr>
            <w:tcW w:w="1760" w:type="dxa"/>
            <w:gridSpan w:val="2"/>
            <w:tcBorders>
              <w:top w:val="single" w:color="auto" w:sz="4" w:space="0"/>
              <w:left w:val="single" w:color="auto" w:sz="4" w:space="0"/>
              <w:bottom w:val="single" w:color="auto" w:sz="4" w:space="0"/>
              <w:right w:val="single" w:color="auto" w:sz="4" w:space="0"/>
            </w:tcBorders>
            <w:vAlign w:val="center"/>
          </w:tcPr>
          <w:p>
            <w:pPr>
              <w:snapToGrid w:val="0"/>
              <w:rPr>
                <w:rFonts w:cs="Calibri"/>
                <w:szCs w:val="21"/>
              </w:rPr>
            </w:pPr>
          </w:p>
        </w:tc>
        <w:tc>
          <w:tcPr>
            <w:tcW w:w="780"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年龄</w:t>
            </w:r>
          </w:p>
        </w:tc>
        <w:tc>
          <w:tcPr>
            <w:tcW w:w="1415"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8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职称</w:t>
            </w:r>
          </w:p>
        </w:tc>
        <w:tc>
          <w:tcPr>
            <w:tcW w:w="18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1954"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资质等级</w:t>
            </w:r>
          </w:p>
        </w:tc>
        <w:tc>
          <w:tcPr>
            <w:tcW w:w="3955" w:type="dxa"/>
            <w:gridSpan w:val="5"/>
            <w:tcBorders>
              <w:top w:val="single" w:color="auto" w:sz="4" w:space="0"/>
              <w:left w:val="single" w:color="auto" w:sz="4" w:space="0"/>
              <w:bottom w:val="single" w:color="auto" w:sz="4" w:space="0"/>
              <w:right w:val="single" w:color="auto" w:sz="4" w:space="0"/>
            </w:tcBorders>
            <w:vAlign w:val="center"/>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8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毕业院校、学历参加工作时间</w:t>
            </w:r>
          </w:p>
        </w:tc>
        <w:tc>
          <w:tcPr>
            <w:tcW w:w="3831" w:type="dxa"/>
            <w:gridSpan w:val="4"/>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c>
          <w:tcPr>
            <w:tcW w:w="1800"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从事</w:t>
            </w:r>
            <w:r>
              <w:rPr>
                <w:rFonts w:hint="eastAsia" w:cs="Calibri"/>
                <w:szCs w:val="21"/>
              </w:rPr>
              <w:t>本</w:t>
            </w:r>
            <w:r>
              <w:rPr>
                <w:rFonts w:cs="Calibri"/>
                <w:szCs w:val="21"/>
              </w:rPr>
              <w:t>工作年限</w:t>
            </w:r>
          </w:p>
        </w:tc>
        <w:tc>
          <w:tcPr>
            <w:tcW w:w="2135"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9623" w:type="dxa"/>
            <w:gridSpan w:val="9"/>
            <w:tcBorders>
              <w:top w:val="single" w:color="auto" w:sz="4" w:space="0"/>
              <w:left w:val="single" w:color="auto" w:sz="4" w:space="0"/>
              <w:bottom w:val="single" w:color="auto" w:sz="4" w:space="0"/>
              <w:right w:val="single" w:color="auto" w:sz="4" w:space="0"/>
            </w:tcBorders>
            <w:vAlign w:val="center"/>
          </w:tcPr>
          <w:p>
            <w:pPr>
              <w:snapToGrid w:val="0"/>
              <w:ind w:firstLine="2940" w:firstLineChars="1400"/>
              <w:rPr>
                <w:rFonts w:cs="Calibri"/>
                <w:szCs w:val="21"/>
              </w:rPr>
            </w:pPr>
            <w:r>
              <w:rPr>
                <w:rFonts w:cs="Calibri"/>
                <w:szCs w:val="21"/>
              </w:rPr>
              <w:t xml:space="preserve">  已完成</w:t>
            </w:r>
            <w:r>
              <w:rPr>
                <w:rFonts w:hint="eastAsia" w:cs="Calibri"/>
                <w:szCs w:val="21"/>
              </w:rPr>
              <w:t>类似</w:t>
            </w:r>
            <w:r>
              <w:rPr>
                <w:rFonts w:cs="Calibri"/>
                <w:szCs w:val="21"/>
              </w:rPr>
              <w:t>项目情况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857" w:type="dxa"/>
            <w:tcBorders>
              <w:top w:val="single" w:color="auto" w:sz="4" w:space="0"/>
              <w:left w:val="single" w:color="auto" w:sz="4" w:space="0"/>
              <w:bottom w:val="single" w:color="auto" w:sz="4" w:space="0"/>
              <w:right w:val="single" w:color="auto" w:sz="4" w:space="0"/>
            </w:tcBorders>
            <w:vAlign w:val="center"/>
          </w:tcPr>
          <w:p>
            <w:pPr>
              <w:snapToGrid w:val="0"/>
              <w:ind w:firstLine="210" w:firstLineChars="100"/>
              <w:rPr>
                <w:rFonts w:cs="Calibri"/>
                <w:szCs w:val="21"/>
              </w:rPr>
            </w:pPr>
            <w:r>
              <w:rPr>
                <w:rFonts w:cs="Calibri"/>
                <w:szCs w:val="21"/>
              </w:rPr>
              <w:t>建设单位</w:t>
            </w:r>
          </w:p>
        </w:tc>
        <w:tc>
          <w:tcPr>
            <w:tcW w:w="1857" w:type="dxa"/>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项目名称</w:t>
            </w:r>
          </w:p>
        </w:tc>
        <w:tc>
          <w:tcPr>
            <w:tcW w:w="1857" w:type="dxa"/>
            <w:tcBorders>
              <w:top w:val="single" w:color="auto" w:sz="4" w:space="0"/>
              <w:left w:val="single" w:color="auto" w:sz="4" w:space="0"/>
              <w:bottom w:val="single" w:color="auto" w:sz="4" w:space="0"/>
              <w:right w:val="single" w:color="auto" w:sz="4" w:space="0"/>
            </w:tcBorders>
            <w:vAlign w:val="center"/>
          </w:tcPr>
          <w:p>
            <w:pPr>
              <w:snapToGrid w:val="0"/>
              <w:ind w:firstLine="210" w:firstLineChars="100"/>
              <w:jc w:val="center"/>
              <w:rPr>
                <w:rFonts w:cs="Calibri"/>
                <w:szCs w:val="21"/>
              </w:rPr>
            </w:pPr>
            <w:r>
              <w:rPr>
                <w:rFonts w:cs="Calibri"/>
                <w:szCs w:val="21"/>
              </w:rPr>
              <w:t>建设规模</w:t>
            </w:r>
          </w:p>
        </w:tc>
        <w:tc>
          <w:tcPr>
            <w:tcW w:w="4052"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cs="Calibri"/>
                <w:szCs w:val="21"/>
              </w:rPr>
            </w:pPr>
            <w:r>
              <w:rPr>
                <w:rFonts w:cs="Calibri"/>
                <w:szCs w:val="21"/>
              </w:rPr>
              <w:t>主要资历、经验及担任的职务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4052" w:type="dxa"/>
            <w:gridSpan w:val="6"/>
            <w:tcBorders>
              <w:top w:val="single" w:color="auto" w:sz="4" w:space="0"/>
              <w:left w:val="single" w:color="auto" w:sz="4" w:space="0"/>
              <w:bottom w:val="single" w:color="auto" w:sz="4" w:space="0"/>
              <w:right w:val="single" w:color="auto" w:sz="4" w:space="0"/>
            </w:tcBorders>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857" w:type="dxa"/>
            <w:tcBorders>
              <w:top w:val="single" w:color="auto" w:sz="4" w:space="0"/>
              <w:left w:val="single" w:color="auto" w:sz="4" w:space="0"/>
              <w:bottom w:val="single" w:color="auto" w:sz="4" w:space="0"/>
              <w:right w:val="single" w:color="auto" w:sz="4" w:space="0"/>
            </w:tcBorders>
          </w:tcPr>
          <w:p>
            <w:pPr>
              <w:pStyle w:val="24"/>
              <w:snapToGrid w:val="0"/>
              <w:ind w:left="5250"/>
              <w:rPr>
                <w:rFonts w:ascii="Calibri" w:hAnsi="Calibri" w:cs="Calibri"/>
                <w:kern w:val="2"/>
                <w:sz w:val="21"/>
                <w:szCs w:val="21"/>
              </w:rPr>
            </w:pPr>
          </w:p>
        </w:tc>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1857" w:type="dxa"/>
            <w:tcBorders>
              <w:top w:val="single" w:color="auto" w:sz="4" w:space="0"/>
              <w:left w:val="single" w:color="auto" w:sz="4" w:space="0"/>
              <w:bottom w:val="single" w:color="auto" w:sz="4" w:space="0"/>
              <w:right w:val="single" w:color="auto" w:sz="4" w:space="0"/>
            </w:tcBorders>
          </w:tcPr>
          <w:p>
            <w:pPr>
              <w:pStyle w:val="24"/>
              <w:snapToGrid w:val="0"/>
              <w:ind w:left="5250"/>
              <w:rPr>
                <w:rFonts w:ascii="Calibri" w:hAnsi="Calibri" w:cs="Calibri"/>
                <w:kern w:val="2"/>
                <w:sz w:val="21"/>
                <w:szCs w:val="21"/>
              </w:rPr>
            </w:pPr>
          </w:p>
        </w:tc>
        <w:tc>
          <w:tcPr>
            <w:tcW w:w="4052" w:type="dxa"/>
            <w:gridSpan w:val="6"/>
            <w:tcBorders>
              <w:top w:val="single" w:color="auto" w:sz="4" w:space="0"/>
              <w:left w:val="single" w:color="auto" w:sz="4" w:space="0"/>
              <w:bottom w:val="single" w:color="auto" w:sz="4" w:space="0"/>
              <w:right w:val="single" w:color="auto" w:sz="4" w:space="0"/>
            </w:tcBorders>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4052" w:type="dxa"/>
            <w:gridSpan w:val="6"/>
            <w:tcBorders>
              <w:top w:val="single" w:color="auto" w:sz="4" w:space="0"/>
              <w:left w:val="single" w:color="auto" w:sz="4" w:space="0"/>
              <w:bottom w:val="single" w:color="auto" w:sz="4" w:space="0"/>
              <w:right w:val="single" w:color="auto" w:sz="4" w:space="0"/>
            </w:tcBorders>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4052" w:type="dxa"/>
            <w:gridSpan w:val="6"/>
            <w:tcBorders>
              <w:top w:val="single" w:color="auto" w:sz="4" w:space="0"/>
              <w:left w:val="single" w:color="auto" w:sz="4" w:space="0"/>
              <w:bottom w:val="single" w:color="auto" w:sz="4" w:space="0"/>
              <w:right w:val="single" w:color="auto" w:sz="4" w:space="0"/>
            </w:tcBorders>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4052" w:type="dxa"/>
            <w:gridSpan w:val="6"/>
            <w:tcBorders>
              <w:top w:val="single" w:color="auto" w:sz="4" w:space="0"/>
              <w:left w:val="single" w:color="auto" w:sz="4" w:space="0"/>
              <w:bottom w:val="single" w:color="auto" w:sz="4" w:space="0"/>
              <w:right w:val="single" w:color="auto" w:sz="4" w:space="0"/>
            </w:tcBorders>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4052" w:type="dxa"/>
            <w:gridSpan w:val="6"/>
            <w:tcBorders>
              <w:top w:val="single" w:color="auto" w:sz="4" w:space="0"/>
              <w:left w:val="single" w:color="auto" w:sz="4" w:space="0"/>
              <w:bottom w:val="single" w:color="auto" w:sz="4" w:space="0"/>
              <w:right w:val="single" w:color="auto" w:sz="4" w:space="0"/>
            </w:tcBorders>
          </w:tcPr>
          <w:p>
            <w:pPr>
              <w:snapToGrid w:val="0"/>
              <w:rPr>
                <w:rFonts w:cs="Calibri"/>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1857" w:type="dxa"/>
            <w:tcBorders>
              <w:top w:val="single" w:color="auto" w:sz="4" w:space="0"/>
              <w:left w:val="single" w:color="auto" w:sz="4" w:space="0"/>
              <w:bottom w:val="single" w:color="auto" w:sz="4" w:space="0"/>
              <w:right w:val="single" w:color="auto" w:sz="4" w:space="0"/>
            </w:tcBorders>
          </w:tcPr>
          <w:p>
            <w:pPr>
              <w:snapToGrid w:val="0"/>
              <w:rPr>
                <w:rFonts w:cs="Calibri"/>
                <w:szCs w:val="21"/>
              </w:rPr>
            </w:pPr>
          </w:p>
        </w:tc>
        <w:tc>
          <w:tcPr>
            <w:tcW w:w="4052" w:type="dxa"/>
            <w:gridSpan w:val="6"/>
            <w:tcBorders>
              <w:top w:val="single" w:color="auto" w:sz="4" w:space="0"/>
              <w:left w:val="single" w:color="auto" w:sz="4" w:space="0"/>
              <w:bottom w:val="single" w:color="auto" w:sz="4" w:space="0"/>
              <w:right w:val="single" w:color="auto" w:sz="4" w:space="0"/>
            </w:tcBorders>
          </w:tcPr>
          <w:p>
            <w:pPr>
              <w:snapToGrid w:val="0"/>
              <w:rPr>
                <w:rFonts w:cs="Calibri"/>
                <w:szCs w:val="21"/>
              </w:rPr>
            </w:pPr>
          </w:p>
        </w:tc>
      </w:tr>
    </w:tbl>
    <w:p>
      <w:pPr>
        <w:spacing w:line="360" w:lineRule="auto"/>
        <w:rPr>
          <w:rFonts w:cs="Calibri"/>
          <w:szCs w:val="21"/>
        </w:rPr>
      </w:pPr>
      <w:r>
        <w:rPr>
          <w:rFonts w:cs="Calibri"/>
          <w:szCs w:val="21"/>
        </w:rPr>
        <w:t>注：附职称证、身份证、资格证</w:t>
      </w:r>
      <w:r>
        <w:rPr>
          <w:rFonts w:hint="eastAsia" w:cs="Calibri"/>
          <w:szCs w:val="21"/>
        </w:rPr>
        <w:t>、业绩</w:t>
      </w:r>
      <w:r>
        <w:rPr>
          <w:rFonts w:cs="Calibri"/>
          <w:szCs w:val="21"/>
        </w:rPr>
        <w:t>合同等相应证明文件</w:t>
      </w:r>
    </w:p>
    <w:p>
      <w:pPr>
        <w:spacing w:line="360" w:lineRule="auto"/>
        <w:rPr>
          <w:rFonts w:cs="Calibri"/>
          <w:sz w:val="24"/>
        </w:rPr>
      </w:pPr>
    </w:p>
    <w:p>
      <w:pPr>
        <w:spacing w:line="360" w:lineRule="auto"/>
        <w:rPr>
          <w:rFonts w:cs="Calibri"/>
          <w:sz w:val="24"/>
        </w:rPr>
      </w:pPr>
    </w:p>
    <w:p>
      <w:pPr>
        <w:spacing w:line="440" w:lineRule="exact"/>
        <w:jc w:val="center"/>
        <w:rPr>
          <w:rFonts w:eastAsia="黑体" w:cs="Calibri"/>
          <w:color w:val="000000"/>
          <w:sz w:val="32"/>
          <w:szCs w:val="32"/>
        </w:rPr>
      </w:pPr>
      <w:r>
        <w:rPr>
          <w:rFonts w:eastAsia="黑体" w:cs="Calibri"/>
          <w:color w:val="000000"/>
          <w:sz w:val="32"/>
          <w:szCs w:val="32"/>
        </w:rPr>
        <w:t>（五）主要参与</w:t>
      </w:r>
      <w:r>
        <w:rPr>
          <w:rFonts w:hint="eastAsia" w:eastAsia="黑体" w:cs="Calibri"/>
          <w:color w:val="000000"/>
          <w:sz w:val="32"/>
          <w:szCs w:val="32"/>
        </w:rPr>
        <w:t>服务</w:t>
      </w:r>
      <w:r>
        <w:rPr>
          <w:rFonts w:eastAsia="黑体" w:cs="Calibri"/>
          <w:color w:val="000000"/>
          <w:sz w:val="32"/>
          <w:szCs w:val="32"/>
        </w:rPr>
        <w:t>人员简介</w:t>
      </w:r>
    </w:p>
    <w:tbl>
      <w:tblPr>
        <w:tblStyle w:val="53"/>
        <w:tblW w:w="9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540"/>
        <w:gridCol w:w="1520"/>
        <w:gridCol w:w="162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20" w:type="dxa"/>
            <w:vAlign w:val="center"/>
          </w:tcPr>
          <w:p>
            <w:pPr>
              <w:pStyle w:val="13"/>
              <w:snapToGrid w:val="0"/>
              <w:ind w:firstLine="241"/>
              <w:jc w:val="center"/>
              <w:rPr>
                <w:rFonts w:ascii="Calibri" w:hAnsi="Calibri" w:cs="Calibri"/>
                <w:bCs/>
                <w:sz w:val="21"/>
                <w:szCs w:val="21"/>
              </w:rPr>
            </w:pPr>
            <w:r>
              <w:rPr>
                <w:rFonts w:ascii="Calibri" w:hAnsi="Calibri" w:cs="Calibri"/>
                <w:bCs/>
                <w:sz w:val="21"/>
                <w:szCs w:val="21"/>
              </w:rPr>
              <w:t>岗位名称</w:t>
            </w:r>
          </w:p>
        </w:tc>
        <w:tc>
          <w:tcPr>
            <w:tcW w:w="1540" w:type="dxa"/>
            <w:vAlign w:val="center"/>
          </w:tcPr>
          <w:p>
            <w:pPr>
              <w:pStyle w:val="13"/>
              <w:snapToGrid w:val="0"/>
              <w:ind w:firstLine="241"/>
              <w:jc w:val="center"/>
              <w:rPr>
                <w:rFonts w:ascii="Calibri" w:hAnsi="Calibri" w:cs="Calibri"/>
                <w:bCs/>
                <w:sz w:val="21"/>
                <w:szCs w:val="21"/>
              </w:rPr>
            </w:pPr>
            <w:r>
              <w:rPr>
                <w:rFonts w:ascii="Calibri" w:hAnsi="Calibri" w:cs="Calibri"/>
                <w:bCs/>
                <w:sz w:val="21"/>
                <w:szCs w:val="21"/>
              </w:rPr>
              <w:t>姓名</w:t>
            </w:r>
          </w:p>
        </w:tc>
        <w:tc>
          <w:tcPr>
            <w:tcW w:w="1520" w:type="dxa"/>
            <w:vAlign w:val="center"/>
          </w:tcPr>
          <w:p>
            <w:pPr>
              <w:pStyle w:val="13"/>
              <w:snapToGrid w:val="0"/>
              <w:ind w:firstLine="241"/>
              <w:jc w:val="center"/>
              <w:rPr>
                <w:rFonts w:ascii="Calibri" w:hAnsi="Calibri" w:cs="Calibri"/>
                <w:bCs/>
                <w:sz w:val="21"/>
                <w:szCs w:val="21"/>
              </w:rPr>
            </w:pPr>
            <w:r>
              <w:rPr>
                <w:rFonts w:ascii="Calibri" w:hAnsi="Calibri" w:cs="Calibri"/>
                <w:bCs/>
                <w:sz w:val="21"/>
                <w:szCs w:val="21"/>
              </w:rPr>
              <w:t>执业资格/职称</w:t>
            </w:r>
          </w:p>
        </w:tc>
        <w:tc>
          <w:tcPr>
            <w:tcW w:w="1620" w:type="dxa"/>
            <w:vAlign w:val="center"/>
          </w:tcPr>
          <w:p>
            <w:pPr>
              <w:snapToGrid w:val="0"/>
              <w:jc w:val="center"/>
              <w:rPr>
                <w:rFonts w:cs="Calibri"/>
                <w:bCs/>
                <w:szCs w:val="21"/>
              </w:rPr>
            </w:pPr>
            <w:r>
              <w:rPr>
                <w:rFonts w:cs="Calibri"/>
                <w:bCs/>
                <w:szCs w:val="21"/>
              </w:rPr>
              <w:t>本项目</w:t>
            </w:r>
          </w:p>
          <w:p>
            <w:pPr>
              <w:snapToGrid w:val="0"/>
              <w:jc w:val="center"/>
              <w:rPr>
                <w:rFonts w:cs="Calibri"/>
                <w:bCs/>
                <w:szCs w:val="21"/>
              </w:rPr>
            </w:pPr>
            <w:r>
              <w:rPr>
                <w:rFonts w:cs="Calibri"/>
                <w:bCs/>
                <w:szCs w:val="21"/>
              </w:rPr>
              <w:t>拟任职务</w:t>
            </w:r>
          </w:p>
        </w:tc>
        <w:tc>
          <w:tcPr>
            <w:tcW w:w="2880" w:type="dxa"/>
            <w:vAlign w:val="center"/>
          </w:tcPr>
          <w:p>
            <w:pPr>
              <w:snapToGrid w:val="0"/>
              <w:jc w:val="center"/>
              <w:rPr>
                <w:rFonts w:cs="Calibri"/>
                <w:bCs/>
                <w:szCs w:val="21"/>
              </w:rPr>
            </w:pPr>
            <w:r>
              <w:rPr>
                <w:rFonts w:cs="Calibri"/>
                <w:bCs/>
                <w:szCs w:val="21"/>
              </w:rPr>
              <w:t>工作年限、主要经验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20" w:type="dxa"/>
          </w:tcPr>
          <w:p>
            <w:pPr>
              <w:pStyle w:val="13"/>
              <w:snapToGrid w:val="0"/>
              <w:ind w:firstLine="241"/>
              <w:jc w:val="center"/>
              <w:rPr>
                <w:rFonts w:ascii="Calibri" w:hAnsi="Calibri" w:cs="Calibri"/>
                <w:sz w:val="21"/>
                <w:szCs w:val="21"/>
              </w:rPr>
            </w:pPr>
          </w:p>
        </w:tc>
        <w:tc>
          <w:tcPr>
            <w:tcW w:w="1540" w:type="dxa"/>
          </w:tcPr>
          <w:p>
            <w:pPr>
              <w:pStyle w:val="13"/>
              <w:snapToGrid w:val="0"/>
              <w:ind w:firstLine="241"/>
              <w:jc w:val="center"/>
              <w:rPr>
                <w:rFonts w:ascii="Calibri" w:hAnsi="Calibri" w:cs="Calibri"/>
                <w:sz w:val="21"/>
                <w:szCs w:val="21"/>
              </w:rPr>
            </w:pPr>
          </w:p>
        </w:tc>
        <w:tc>
          <w:tcPr>
            <w:tcW w:w="1520" w:type="dxa"/>
          </w:tcPr>
          <w:p>
            <w:pPr>
              <w:pStyle w:val="13"/>
              <w:snapToGrid w:val="0"/>
              <w:ind w:firstLine="241"/>
              <w:jc w:val="center"/>
              <w:rPr>
                <w:rFonts w:ascii="Calibri" w:hAnsi="Calibri" w:cs="Calibri"/>
                <w:sz w:val="21"/>
                <w:szCs w:val="21"/>
              </w:rPr>
            </w:pPr>
          </w:p>
        </w:tc>
        <w:tc>
          <w:tcPr>
            <w:tcW w:w="1620" w:type="dxa"/>
          </w:tcPr>
          <w:p>
            <w:pPr>
              <w:pStyle w:val="13"/>
              <w:snapToGrid w:val="0"/>
              <w:ind w:firstLine="241"/>
              <w:jc w:val="center"/>
              <w:rPr>
                <w:rFonts w:ascii="Calibri" w:hAnsi="Calibri" w:cs="Calibri"/>
                <w:sz w:val="21"/>
                <w:szCs w:val="21"/>
              </w:rPr>
            </w:pPr>
          </w:p>
        </w:tc>
        <w:tc>
          <w:tcPr>
            <w:tcW w:w="2880" w:type="dxa"/>
          </w:tcPr>
          <w:p>
            <w:pPr>
              <w:pStyle w:val="13"/>
              <w:snapToGrid w:val="0"/>
              <w:ind w:firstLine="241"/>
              <w:jc w:val="center"/>
              <w:rPr>
                <w:rFonts w:ascii="Calibri" w:hAnsi="Calibri" w:cs="Calibri"/>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20" w:type="dxa"/>
          </w:tcPr>
          <w:p>
            <w:pPr>
              <w:pStyle w:val="13"/>
              <w:snapToGrid w:val="0"/>
              <w:ind w:firstLine="0"/>
              <w:rPr>
                <w:rFonts w:ascii="Calibri" w:hAnsi="Calibri" w:cs="Calibri"/>
                <w:sz w:val="21"/>
                <w:szCs w:val="21"/>
              </w:rPr>
            </w:pPr>
          </w:p>
        </w:tc>
        <w:tc>
          <w:tcPr>
            <w:tcW w:w="1540" w:type="dxa"/>
          </w:tcPr>
          <w:p>
            <w:pPr>
              <w:pStyle w:val="13"/>
              <w:snapToGrid w:val="0"/>
              <w:ind w:firstLine="241"/>
              <w:jc w:val="center"/>
              <w:rPr>
                <w:rFonts w:ascii="Calibri" w:hAnsi="Calibri" w:cs="Calibri"/>
                <w:sz w:val="21"/>
                <w:szCs w:val="21"/>
              </w:rPr>
            </w:pPr>
          </w:p>
        </w:tc>
        <w:tc>
          <w:tcPr>
            <w:tcW w:w="1520" w:type="dxa"/>
          </w:tcPr>
          <w:p>
            <w:pPr>
              <w:pStyle w:val="13"/>
              <w:snapToGrid w:val="0"/>
              <w:ind w:firstLine="241"/>
              <w:jc w:val="center"/>
              <w:rPr>
                <w:rFonts w:ascii="Calibri" w:hAnsi="Calibri" w:cs="Calibri"/>
                <w:sz w:val="21"/>
                <w:szCs w:val="21"/>
              </w:rPr>
            </w:pPr>
          </w:p>
        </w:tc>
        <w:tc>
          <w:tcPr>
            <w:tcW w:w="1620" w:type="dxa"/>
          </w:tcPr>
          <w:p>
            <w:pPr>
              <w:pStyle w:val="13"/>
              <w:snapToGrid w:val="0"/>
              <w:ind w:firstLine="241"/>
              <w:jc w:val="center"/>
              <w:rPr>
                <w:rFonts w:ascii="Calibri" w:hAnsi="Calibri" w:cs="Calibri"/>
                <w:sz w:val="21"/>
                <w:szCs w:val="21"/>
              </w:rPr>
            </w:pPr>
          </w:p>
        </w:tc>
        <w:tc>
          <w:tcPr>
            <w:tcW w:w="2880" w:type="dxa"/>
          </w:tcPr>
          <w:p>
            <w:pPr>
              <w:pStyle w:val="13"/>
              <w:snapToGrid w:val="0"/>
              <w:ind w:firstLine="241"/>
              <w:jc w:val="center"/>
              <w:rPr>
                <w:rFonts w:ascii="Calibri" w:hAnsi="Calibri" w:cs="Calibri"/>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20" w:type="dxa"/>
          </w:tcPr>
          <w:p>
            <w:pPr>
              <w:pStyle w:val="13"/>
              <w:snapToGrid w:val="0"/>
              <w:ind w:firstLine="0"/>
              <w:rPr>
                <w:rFonts w:ascii="Calibri" w:hAnsi="Calibri" w:cs="Calibri"/>
                <w:sz w:val="21"/>
                <w:szCs w:val="21"/>
              </w:rPr>
            </w:pPr>
          </w:p>
        </w:tc>
        <w:tc>
          <w:tcPr>
            <w:tcW w:w="1540" w:type="dxa"/>
          </w:tcPr>
          <w:p>
            <w:pPr>
              <w:pStyle w:val="13"/>
              <w:snapToGrid w:val="0"/>
              <w:ind w:firstLine="241"/>
              <w:jc w:val="center"/>
              <w:rPr>
                <w:rFonts w:ascii="Calibri" w:hAnsi="Calibri" w:cs="Calibri"/>
                <w:sz w:val="21"/>
                <w:szCs w:val="21"/>
              </w:rPr>
            </w:pPr>
          </w:p>
        </w:tc>
        <w:tc>
          <w:tcPr>
            <w:tcW w:w="1520" w:type="dxa"/>
          </w:tcPr>
          <w:p>
            <w:pPr>
              <w:pStyle w:val="13"/>
              <w:snapToGrid w:val="0"/>
              <w:ind w:firstLine="241"/>
              <w:jc w:val="center"/>
              <w:rPr>
                <w:rFonts w:ascii="Calibri" w:hAnsi="Calibri" w:cs="Calibri"/>
                <w:sz w:val="21"/>
                <w:szCs w:val="21"/>
              </w:rPr>
            </w:pPr>
          </w:p>
        </w:tc>
        <w:tc>
          <w:tcPr>
            <w:tcW w:w="1620" w:type="dxa"/>
          </w:tcPr>
          <w:p>
            <w:pPr>
              <w:pStyle w:val="13"/>
              <w:snapToGrid w:val="0"/>
              <w:ind w:firstLine="241"/>
              <w:jc w:val="center"/>
              <w:rPr>
                <w:rFonts w:ascii="Calibri" w:hAnsi="Calibri" w:cs="Calibri"/>
                <w:sz w:val="21"/>
                <w:szCs w:val="21"/>
              </w:rPr>
            </w:pPr>
          </w:p>
        </w:tc>
        <w:tc>
          <w:tcPr>
            <w:tcW w:w="2880" w:type="dxa"/>
          </w:tcPr>
          <w:p>
            <w:pPr>
              <w:pStyle w:val="13"/>
              <w:snapToGrid w:val="0"/>
              <w:ind w:firstLine="241"/>
              <w:jc w:val="center"/>
              <w:rPr>
                <w:rFonts w:ascii="Calibri" w:hAnsi="Calibri" w:cs="Calibri"/>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20" w:type="dxa"/>
          </w:tcPr>
          <w:p>
            <w:pPr>
              <w:pStyle w:val="13"/>
              <w:snapToGrid w:val="0"/>
              <w:ind w:firstLine="0"/>
              <w:rPr>
                <w:rFonts w:ascii="Calibri" w:hAnsi="Calibri" w:cs="Calibri"/>
                <w:sz w:val="21"/>
                <w:szCs w:val="21"/>
              </w:rPr>
            </w:pPr>
          </w:p>
        </w:tc>
        <w:tc>
          <w:tcPr>
            <w:tcW w:w="1540" w:type="dxa"/>
          </w:tcPr>
          <w:p>
            <w:pPr>
              <w:pStyle w:val="13"/>
              <w:snapToGrid w:val="0"/>
              <w:ind w:firstLine="241"/>
              <w:jc w:val="center"/>
              <w:rPr>
                <w:rFonts w:ascii="Calibri" w:hAnsi="Calibri" w:cs="Calibri"/>
                <w:sz w:val="21"/>
                <w:szCs w:val="21"/>
              </w:rPr>
            </w:pPr>
          </w:p>
        </w:tc>
        <w:tc>
          <w:tcPr>
            <w:tcW w:w="1520" w:type="dxa"/>
          </w:tcPr>
          <w:p>
            <w:pPr>
              <w:pStyle w:val="13"/>
              <w:snapToGrid w:val="0"/>
              <w:ind w:firstLine="241"/>
              <w:jc w:val="center"/>
              <w:rPr>
                <w:rFonts w:ascii="Calibri" w:hAnsi="Calibri" w:cs="Calibri"/>
                <w:sz w:val="21"/>
                <w:szCs w:val="21"/>
              </w:rPr>
            </w:pPr>
          </w:p>
        </w:tc>
        <w:tc>
          <w:tcPr>
            <w:tcW w:w="1620" w:type="dxa"/>
          </w:tcPr>
          <w:p>
            <w:pPr>
              <w:pStyle w:val="13"/>
              <w:snapToGrid w:val="0"/>
              <w:ind w:firstLine="241"/>
              <w:jc w:val="center"/>
              <w:rPr>
                <w:rFonts w:ascii="Calibri" w:hAnsi="Calibri" w:cs="Calibri"/>
                <w:sz w:val="21"/>
                <w:szCs w:val="21"/>
              </w:rPr>
            </w:pPr>
          </w:p>
        </w:tc>
        <w:tc>
          <w:tcPr>
            <w:tcW w:w="2880" w:type="dxa"/>
          </w:tcPr>
          <w:p>
            <w:pPr>
              <w:pStyle w:val="13"/>
              <w:snapToGrid w:val="0"/>
              <w:ind w:firstLine="241"/>
              <w:jc w:val="center"/>
              <w:rPr>
                <w:rFonts w:ascii="Calibri" w:hAnsi="Calibri" w:cs="Calibri"/>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20" w:type="dxa"/>
          </w:tcPr>
          <w:p>
            <w:pPr>
              <w:pStyle w:val="13"/>
              <w:snapToGrid w:val="0"/>
              <w:ind w:firstLine="0"/>
              <w:rPr>
                <w:rFonts w:ascii="Calibri" w:hAnsi="Calibri" w:cs="Calibri"/>
                <w:sz w:val="21"/>
                <w:szCs w:val="21"/>
              </w:rPr>
            </w:pPr>
          </w:p>
        </w:tc>
        <w:tc>
          <w:tcPr>
            <w:tcW w:w="1540" w:type="dxa"/>
          </w:tcPr>
          <w:p>
            <w:pPr>
              <w:pStyle w:val="13"/>
              <w:snapToGrid w:val="0"/>
              <w:ind w:firstLine="241"/>
              <w:jc w:val="center"/>
              <w:rPr>
                <w:rFonts w:ascii="Calibri" w:hAnsi="Calibri" w:cs="Calibri"/>
                <w:sz w:val="21"/>
                <w:szCs w:val="21"/>
              </w:rPr>
            </w:pPr>
          </w:p>
        </w:tc>
        <w:tc>
          <w:tcPr>
            <w:tcW w:w="1520" w:type="dxa"/>
          </w:tcPr>
          <w:p>
            <w:pPr>
              <w:pStyle w:val="13"/>
              <w:snapToGrid w:val="0"/>
              <w:ind w:firstLine="241"/>
              <w:jc w:val="center"/>
              <w:rPr>
                <w:rFonts w:ascii="Calibri" w:hAnsi="Calibri" w:cs="Calibri"/>
                <w:sz w:val="21"/>
                <w:szCs w:val="21"/>
              </w:rPr>
            </w:pPr>
          </w:p>
        </w:tc>
        <w:tc>
          <w:tcPr>
            <w:tcW w:w="1620" w:type="dxa"/>
          </w:tcPr>
          <w:p>
            <w:pPr>
              <w:pStyle w:val="13"/>
              <w:snapToGrid w:val="0"/>
              <w:ind w:firstLine="241"/>
              <w:jc w:val="center"/>
              <w:rPr>
                <w:rFonts w:ascii="Calibri" w:hAnsi="Calibri" w:cs="Calibri"/>
                <w:sz w:val="21"/>
                <w:szCs w:val="21"/>
              </w:rPr>
            </w:pPr>
          </w:p>
        </w:tc>
        <w:tc>
          <w:tcPr>
            <w:tcW w:w="2880" w:type="dxa"/>
          </w:tcPr>
          <w:p>
            <w:pPr>
              <w:pStyle w:val="13"/>
              <w:snapToGrid w:val="0"/>
              <w:ind w:firstLine="241"/>
              <w:jc w:val="center"/>
              <w:rPr>
                <w:rFonts w:ascii="Calibri" w:hAnsi="Calibri" w:cs="Calibri"/>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20" w:type="dxa"/>
          </w:tcPr>
          <w:p>
            <w:pPr>
              <w:pStyle w:val="13"/>
              <w:snapToGrid w:val="0"/>
              <w:ind w:firstLine="0"/>
              <w:rPr>
                <w:rFonts w:ascii="Calibri" w:hAnsi="Calibri" w:cs="Calibri"/>
                <w:sz w:val="21"/>
                <w:szCs w:val="21"/>
              </w:rPr>
            </w:pPr>
          </w:p>
        </w:tc>
        <w:tc>
          <w:tcPr>
            <w:tcW w:w="1540" w:type="dxa"/>
          </w:tcPr>
          <w:p>
            <w:pPr>
              <w:pStyle w:val="13"/>
              <w:snapToGrid w:val="0"/>
              <w:ind w:firstLine="241"/>
              <w:jc w:val="center"/>
              <w:rPr>
                <w:rFonts w:ascii="Calibri" w:hAnsi="Calibri" w:cs="Calibri"/>
                <w:sz w:val="21"/>
                <w:szCs w:val="21"/>
              </w:rPr>
            </w:pPr>
          </w:p>
        </w:tc>
        <w:tc>
          <w:tcPr>
            <w:tcW w:w="1520" w:type="dxa"/>
          </w:tcPr>
          <w:p>
            <w:pPr>
              <w:pStyle w:val="13"/>
              <w:snapToGrid w:val="0"/>
              <w:ind w:firstLine="241"/>
              <w:jc w:val="center"/>
              <w:rPr>
                <w:rFonts w:ascii="Calibri" w:hAnsi="Calibri" w:cs="Calibri"/>
                <w:sz w:val="21"/>
                <w:szCs w:val="21"/>
              </w:rPr>
            </w:pPr>
          </w:p>
        </w:tc>
        <w:tc>
          <w:tcPr>
            <w:tcW w:w="1620" w:type="dxa"/>
          </w:tcPr>
          <w:p>
            <w:pPr>
              <w:pStyle w:val="13"/>
              <w:snapToGrid w:val="0"/>
              <w:ind w:firstLine="241"/>
              <w:jc w:val="center"/>
              <w:rPr>
                <w:rFonts w:ascii="Calibri" w:hAnsi="Calibri" w:cs="Calibri"/>
                <w:sz w:val="21"/>
                <w:szCs w:val="21"/>
              </w:rPr>
            </w:pPr>
          </w:p>
        </w:tc>
        <w:tc>
          <w:tcPr>
            <w:tcW w:w="2880" w:type="dxa"/>
          </w:tcPr>
          <w:p>
            <w:pPr>
              <w:pStyle w:val="13"/>
              <w:snapToGrid w:val="0"/>
              <w:ind w:firstLine="241"/>
              <w:jc w:val="center"/>
              <w:rPr>
                <w:rFonts w:ascii="Calibri" w:hAnsi="Calibri" w:cs="Calibri"/>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20" w:type="dxa"/>
          </w:tcPr>
          <w:p>
            <w:pPr>
              <w:pStyle w:val="13"/>
              <w:snapToGrid w:val="0"/>
              <w:ind w:firstLine="0"/>
              <w:rPr>
                <w:rFonts w:ascii="Calibri" w:hAnsi="Calibri" w:cs="Calibri"/>
                <w:sz w:val="21"/>
                <w:szCs w:val="21"/>
              </w:rPr>
            </w:pPr>
          </w:p>
        </w:tc>
        <w:tc>
          <w:tcPr>
            <w:tcW w:w="1540" w:type="dxa"/>
          </w:tcPr>
          <w:p>
            <w:pPr>
              <w:pStyle w:val="13"/>
              <w:snapToGrid w:val="0"/>
              <w:ind w:firstLine="241"/>
              <w:jc w:val="center"/>
              <w:rPr>
                <w:rFonts w:ascii="Calibri" w:hAnsi="Calibri" w:cs="Calibri"/>
                <w:sz w:val="21"/>
                <w:szCs w:val="21"/>
              </w:rPr>
            </w:pPr>
          </w:p>
        </w:tc>
        <w:tc>
          <w:tcPr>
            <w:tcW w:w="1520" w:type="dxa"/>
          </w:tcPr>
          <w:p>
            <w:pPr>
              <w:pStyle w:val="13"/>
              <w:snapToGrid w:val="0"/>
              <w:ind w:firstLine="241"/>
              <w:jc w:val="center"/>
              <w:rPr>
                <w:rFonts w:ascii="Calibri" w:hAnsi="Calibri" w:cs="Calibri"/>
                <w:sz w:val="21"/>
                <w:szCs w:val="21"/>
              </w:rPr>
            </w:pPr>
          </w:p>
        </w:tc>
        <w:tc>
          <w:tcPr>
            <w:tcW w:w="1620" w:type="dxa"/>
          </w:tcPr>
          <w:p>
            <w:pPr>
              <w:pStyle w:val="13"/>
              <w:snapToGrid w:val="0"/>
              <w:ind w:firstLine="241"/>
              <w:jc w:val="center"/>
              <w:rPr>
                <w:rFonts w:ascii="Calibri" w:hAnsi="Calibri" w:cs="Calibri"/>
                <w:sz w:val="21"/>
                <w:szCs w:val="21"/>
              </w:rPr>
            </w:pPr>
          </w:p>
        </w:tc>
        <w:tc>
          <w:tcPr>
            <w:tcW w:w="2880" w:type="dxa"/>
          </w:tcPr>
          <w:p>
            <w:pPr>
              <w:pStyle w:val="13"/>
              <w:snapToGrid w:val="0"/>
              <w:ind w:firstLine="241"/>
              <w:jc w:val="center"/>
              <w:rPr>
                <w:rFonts w:ascii="Calibri" w:hAnsi="Calibri" w:cs="Calibri"/>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20" w:type="dxa"/>
          </w:tcPr>
          <w:p>
            <w:pPr>
              <w:pStyle w:val="13"/>
              <w:snapToGrid w:val="0"/>
              <w:ind w:firstLine="0"/>
              <w:rPr>
                <w:rFonts w:ascii="Calibri" w:hAnsi="Calibri" w:cs="Calibri"/>
                <w:sz w:val="21"/>
                <w:szCs w:val="21"/>
              </w:rPr>
            </w:pPr>
          </w:p>
        </w:tc>
        <w:tc>
          <w:tcPr>
            <w:tcW w:w="1540" w:type="dxa"/>
          </w:tcPr>
          <w:p>
            <w:pPr>
              <w:pStyle w:val="13"/>
              <w:snapToGrid w:val="0"/>
              <w:ind w:firstLine="241"/>
              <w:jc w:val="center"/>
              <w:rPr>
                <w:rFonts w:ascii="Calibri" w:hAnsi="Calibri" w:cs="Calibri"/>
                <w:sz w:val="21"/>
                <w:szCs w:val="21"/>
              </w:rPr>
            </w:pPr>
          </w:p>
        </w:tc>
        <w:tc>
          <w:tcPr>
            <w:tcW w:w="1520" w:type="dxa"/>
          </w:tcPr>
          <w:p>
            <w:pPr>
              <w:pStyle w:val="13"/>
              <w:snapToGrid w:val="0"/>
              <w:ind w:firstLine="241"/>
              <w:jc w:val="center"/>
              <w:rPr>
                <w:rFonts w:ascii="Calibri" w:hAnsi="Calibri" w:cs="Calibri"/>
                <w:sz w:val="21"/>
                <w:szCs w:val="21"/>
              </w:rPr>
            </w:pPr>
          </w:p>
        </w:tc>
        <w:tc>
          <w:tcPr>
            <w:tcW w:w="1620" w:type="dxa"/>
          </w:tcPr>
          <w:p>
            <w:pPr>
              <w:pStyle w:val="13"/>
              <w:snapToGrid w:val="0"/>
              <w:ind w:firstLine="241"/>
              <w:jc w:val="center"/>
              <w:rPr>
                <w:rFonts w:ascii="Calibri" w:hAnsi="Calibri" w:cs="Calibri"/>
                <w:sz w:val="21"/>
                <w:szCs w:val="21"/>
              </w:rPr>
            </w:pPr>
          </w:p>
        </w:tc>
        <w:tc>
          <w:tcPr>
            <w:tcW w:w="2880" w:type="dxa"/>
          </w:tcPr>
          <w:p>
            <w:pPr>
              <w:pStyle w:val="13"/>
              <w:snapToGrid w:val="0"/>
              <w:ind w:firstLine="241"/>
              <w:jc w:val="center"/>
              <w:rPr>
                <w:rFonts w:ascii="Calibri" w:hAnsi="Calibri" w:cs="Calibri"/>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620" w:type="dxa"/>
          </w:tcPr>
          <w:p>
            <w:pPr>
              <w:pStyle w:val="13"/>
              <w:snapToGrid w:val="0"/>
              <w:ind w:firstLine="0"/>
              <w:rPr>
                <w:rFonts w:ascii="Calibri" w:hAnsi="Calibri" w:cs="Calibri"/>
                <w:sz w:val="21"/>
                <w:szCs w:val="21"/>
              </w:rPr>
            </w:pPr>
          </w:p>
        </w:tc>
        <w:tc>
          <w:tcPr>
            <w:tcW w:w="1540" w:type="dxa"/>
          </w:tcPr>
          <w:p>
            <w:pPr>
              <w:pStyle w:val="13"/>
              <w:snapToGrid w:val="0"/>
              <w:ind w:firstLine="241"/>
              <w:jc w:val="center"/>
              <w:rPr>
                <w:rFonts w:ascii="Calibri" w:hAnsi="Calibri" w:cs="Calibri"/>
                <w:sz w:val="21"/>
                <w:szCs w:val="21"/>
              </w:rPr>
            </w:pPr>
          </w:p>
        </w:tc>
        <w:tc>
          <w:tcPr>
            <w:tcW w:w="1520" w:type="dxa"/>
          </w:tcPr>
          <w:p>
            <w:pPr>
              <w:pStyle w:val="13"/>
              <w:snapToGrid w:val="0"/>
              <w:ind w:firstLine="241"/>
              <w:jc w:val="center"/>
              <w:rPr>
                <w:rFonts w:ascii="Calibri" w:hAnsi="Calibri" w:cs="Calibri"/>
                <w:sz w:val="21"/>
                <w:szCs w:val="21"/>
              </w:rPr>
            </w:pPr>
          </w:p>
        </w:tc>
        <w:tc>
          <w:tcPr>
            <w:tcW w:w="1620" w:type="dxa"/>
          </w:tcPr>
          <w:p>
            <w:pPr>
              <w:pStyle w:val="13"/>
              <w:snapToGrid w:val="0"/>
              <w:ind w:firstLine="241"/>
              <w:jc w:val="center"/>
              <w:rPr>
                <w:rFonts w:ascii="Calibri" w:hAnsi="Calibri" w:cs="Calibri"/>
                <w:sz w:val="21"/>
                <w:szCs w:val="21"/>
              </w:rPr>
            </w:pPr>
          </w:p>
        </w:tc>
        <w:tc>
          <w:tcPr>
            <w:tcW w:w="2880" w:type="dxa"/>
          </w:tcPr>
          <w:p>
            <w:pPr>
              <w:pStyle w:val="13"/>
              <w:snapToGrid w:val="0"/>
              <w:ind w:firstLine="241"/>
              <w:jc w:val="center"/>
              <w:rPr>
                <w:rFonts w:ascii="Calibri" w:hAnsi="Calibri" w:cs="Calibri"/>
                <w:sz w:val="21"/>
                <w:szCs w:val="21"/>
              </w:rPr>
            </w:pPr>
          </w:p>
        </w:tc>
      </w:tr>
    </w:tbl>
    <w:p>
      <w:pPr>
        <w:spacing w:line="360" w:lineRule="auto"/>
        <w:rPr>
          <w:rFonts w:cs="Calibri"/>
          <w:szCs w:val="21"/>
        </w:rPr>
      </w:pPr>
      <w:r>
        <w:rPr>
          <w:rFonts w:cs="Calibri"/>
          <w:szCs w:val="21"/>
        </w:rPr>
        <w:t>注：附职称证、身份证、资格证</w:t>
      </w:r>
      <w:r>
        <w:rPr>
          <w:rFonts w:hint="eastAsia" w:cs="Calibri"/>
          <w:szCs w:val="21"/>
        </w:rPr>
        <w:t>、业绩</w:t>
      </w:r>
      <w:r>
        <w:rPr>
          <w:rFonts w:cs="Calibri"/>
          <w:szCs w:val="21"/>
        </w:rPr>
        <w:t>合同等相应证明文件</w:t>
      </w:r>
    </w:p>
    <w:p>
      <w:pPr>
        <w:spacing w:line="360" w:lineRule="auto"/>
        <w:jc w:val="center"/>
        <w:rPr>
          <w:rFonts w:cs="Calibri"/>
          <w:b/>
          <w:sz w:val="36"/>
          <w:szCs w:val="36"/>
        </w:rPr>
      </w:pPr>
    </w:p>
    <w:p>
      <w:pPr>
        <w:spacing w:line="360" w:lineRule="auto"/>
        <w:jc w:val="center"/>
        <w:rPr>
          <w:rFonts w:cs="Calibri"/>
          <w:b/>
          <w:sz w:val="36"/>
          <w:szCs w:val="36"/>
        </w:rPr>
      </w:pPr>
    </w:p>
    <w:p>
      <w:pPr>
        <w:spacing w:line="440" w:lineRule="exact"/>
        <w:jc w:val="center"/>
        <w:rPr>
          <w:rFonts w:eastAsia="黑体" w:cs="Calibri"/>
          <w:color w:val="000000"/>
          <w:sz w:val="32"/>
          <w:szCs w:val="32"/>
        </w:rPr>
      </w:pPr>
      <w:r>
        <w:rPr>
          <w:rFonts w:eastAsia="黑体" w:cs="Calibri"/>
          <w:color w:val="000000"/>
          <w:sz w:val="32"/>
          <w:szCs w:val="32"/>
        </w:rPr>
        <w:t>七、</w:t>
      </w:r>
      <w:r>
        <w:rPr>
          <w:rFonts w:hint="eastAsia" w:eastAsia="黑体" w:cs="Calibri"/>
          <w:color w:val="000000"/>
          <w:sz w:val="32"/>
          <w:szCs w:val="32"/>
        </w:rPr>
        <w:t>投标人认为</w:t>
      </w:r>
      <w:r>
        <w:rPr>
          <w:rFonts w:eastAsia="黑体" w:cs="Calibri"/>
          <w:color w:val="000000"/>
          <w:sz w:val="32"/>
          <w:szCs w:val="32"/>
        </w:rPr>
        <w:t>应该提供的其他材料</w:t>
      </w:r>
    </w:p>
    <w:p>
      <w:pPr>
        <w:spacing w:line="360" w:lineRule="auto"/>
        <w:jc w:val="center"/>
        <w:rPr>
          <w:rFonts w:cs="Calibri"/>
          <w:b/>
          <w:sz w:val="36"/>
          <w:szCs w:val="36"/>
        </w:rPr>
      </w:pPr>
    </w:p>
    <w:p>
      <w:pPr>
        <w:spacing w:line="360" w:lineRule="auto"/>
        <w:jc w:val="center"/>
        <w:rPr>
          <w:rFonts w:cs="Calibri"/>
          <w:b/>
          <w:sz w:val="36"/>
          <w:szCs w:val="36"/>
        </w:rPr>
      </w:pPr>
    </w:p>
    <w:p>
      <w:pPr>
        <w:spacing w:line="360" w:lineRule="auto"/>
        <w:jc w:val="center"/>
        <w:rPr>
          <w:rFonts w:cs="Calibri"/>
          <w:b/>
          <w:sz w:val="36"/>
          <w:szCs w:val="36"/>
        </w:rPr>
      </w:pPr>
    </w:p>
    <w:p>
      <w:pPr>
        <w:spacing w:line="360" w:lineRule="auto"/>
        <w:jc w:val="center"/>
        <w:rPr>
          <w:rFonts w:cs="Calibri"/>
          <w:b/>
          <w:sz w:val="36"/>
          <w:szCs w:val="36"/>
        </w:rPr>
      </w:pPr>
    </w:p>
    <w:p>
      <w:pPr>
        <w:spacing w:line="440" w:lineRule="exact"/>
        <w:jc w:val="center"/>
        <w:rPr>
          <w:rFonts w:eastAsia="黑体" w:cs="Calibri"/>
          <w:color w:val="000000"/>
          <w:sz w:val="32"/>
          <w:szCs w:val="32"/>
        </w:rPr>
      </w:pPr>
    </w:p>
    <w:p/>
    <w:p/>
    <w:p/>
    <w:sectPr>
      <w:footerReference r:id="rId7" w:type="even"/>
      <w:pgSz w:w="11906" w:h="16838"/>
      <w:pgMar w:top="1134" w:right="1247" w:bottom="1134" w:left="1247"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Microsoft YaHei UI">
    <w:panose1 w:val="020B0503020204020204"/>
    <w:charset w:val="86"/>
    <w:family w:val="swiss"/>
    <w:pitch w:val="default"/>
    <w:sig w:usb0="80000287" w:usb1="28C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CS?o｡ﾀ?">
    <w:altName w:val="MS PGothic"/>
    <w:panose1 w:val="00000000000000000000"/>
    <w:charset w:val="80"/>
    <w:family w:val="modern"/>
    <w:pitch w:val="default"/>
    <w:sig w:usb0="00000000" w:usb1="00000000" w:usb2="00000010" w:usb3="00000000" w:csb0="00020000" w:csb1="00000000"/>
  </w:font>
  <w:font w:name="方正大标宋简体">
    <w:altName w:val="微软雅黑"/>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MS PGothic">
    <w:panose1 w:val="020B0600070205080204"/>
    <w:charset w:val="80"/>
    <w:family w:val="auto"/>
    <w:pitch w:val="default"/>
    <w:sig w:usb0="E00002FF" w:usb1="6AC7FDFB" w:usb2="00000012" w:usb3="00000000" w:csb0="4002009F" w:csb1="DFD7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46298"/>
    </w:sdtPr>
    <w:sdtContent>
      <w:p>
        <w:pPr>
          <w:pStyle w:val="27"/>
          <w:jc w:val="center"/>
        </w:pPr>
        <w:r>
          <w:fldChar w:fldCharType="begin"/>
        </w:r>
        <w:r>
          <w:instrText xml:space="preserve"> PAGE   \* MERGEFORMAT </w:instrText>
        </w:r>
        <w:r>
          <w:fldChar w:fldCharType="separate"/>
        </w:r>
        <w:r>
          <w:rPr>
            <w:lang w:val="zh-CN"/>
          </w:rPr>
          <w:t>-</w:t>
        </w:r>
        <w:r>
          <w:t xml:space="preserve"> 1 -</w:t>
        </w:r>
        <w:r>
          <w:fldChar w:fldCharType="end"/>
        </w:r>
      </w:p>
    </w:sdtContent>
  </w:sdt>
  <w:p>
    <w:pPr>
      <w:pStyle w:val="27"/>
      <w:wordWrap w:val="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outside" w:y="1"/>
      <w:rPr>
        <w:rStyle w:val="47"/>
      </w:rPr>
    </w:pPr>
    <w:r>
      <w:fldChar w:fldCharType="begin"/>
    </w:r>
    <w:r>
      <w:rPr>
        <w:rStyle w:val="47"/>
      </w:rPr>
      <w:instrText xml:space="preserve">PAGE  </w:instrText>
    </w:r>
    <w:r>
      <w:fldChar w:fldCharType="separate"/>
    </w:r>
    <w:r>
      <w:rPr>
        <w:rStyle w:val="47"/>
      </w:rPr>
      <w:t>0</w:t>
    </w:r>
    <w:r>
      <w:fldChar w:fldCharType="end"/>
    </w:r>
  </w:p>
  <w:p>
    <w:pPr>
      <w:pStyle w:val="2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p>
  <w:p>
    <w:pPr>
      <w:pStyle w:val="2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outside" w:y="1"/>
      <w:rPr>
        <w:rStyle w:val="47"/>
      </w:rPr>
    </w:pPr>
    <w:r>
      <w:fldChar w:fldCharType="begin"/>
    </w:r>
    <w:r>
      <w:rPr>
        <w:rStyle w:val="47"/>
      </w:rPr>
      <w:instrText xml:space="preserve">PAGE  </w:instrText>
    </w:r>
    <w:r>
      <w:fldChar w:fldCharType="separate"/>
    </w:r>
    <w:r>
      <w:rPr>
        <w:rStyle w:val="47"/>
      </w:rPr>
      <w:t>0</w:t>
    </w:r>
    <w:r>
      <w:fldChar w:fldCharType="end"/>
    </w:r>
  </w:p>
  <w:p>
    <w:pPr>
      <w:pStyle w:val="2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left"/>
    </w:pPr>
    <w:r>
      <w:rPr>
        <w:rFonts w:hint="eastAsia"/>
      </w:rPr>
      <w:t>杭州萧山国际机场东区国内货站</w:t>
    </w:r>
    <w:r>
      <w:t>项目</w:t>
    </w:r>
    <w:r>
      <w:rPr>
        <w:rFonts w:hint="eastAsia"/>
      </w:rPr>
      <w:t>可行性研究报告编制招标文件</w:t>
    </w:r>
  </w:p>
  <w:p>
    <w:pPr>
      <w:widowControl/>
      <w:adjustRightInd w:val="0"/>
      <w:snapToGrid w:val="0"/>
      <w:textAlignment w:val="baseline"/>
      <w:rPr>
        <w:color w:val="000000"/>
        <w:kern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3711D8"/>
    <w:rsid w:val="694176F8"/>
    <w:rsid w:val="77803F2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9" w:name="heading 6"/>
    <w:lsdException w:qFormat="1" w:uiPriority="9" w:name="heading 7"/>
    <w:lsdException w:qFormat="1" w:uiPriority="9" w:name="heading 8"/>
    <w:lsdException w:qFormat="1" w:uiPriority="9" w:name="heading 9"/>
    <w:lsdException w:qFormat="1" w:uiPriority="0" w:semiHidden="0" w:name="index 1"/>
    <w:lsdException w:uiPriority="0" w:semiHidden="0" w:name="index 2"/>
    <w:lsdException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0" w:semiHidden="0" w:name="toc 4"/>
    <w:lsdException w:qFormat="1" w:uiPriority="0" w:semiHidden="0" w:name="toc 5"/>
    <w:lsdException w:qFormat="1" w:uiPriority="0" w:semiHidden="0" w:name="toc 6"/>
    <w:lsdException w:uiPriority="0" w:semiHidden="0" w:name="toc 7"/>
    <w:lsdException w:uiPriority="0" w:semiHidden="0" w:name="toc 8"/>
    <w:lsdException w:uiPriority="0" w:semiHidden="0" w:name="toc 9"/>
    <w:lsdException w:uiPriority="0" w:semiHidden="0" w:name="Normal Indent"/>
    <w:lsdException w:uiPriority="0"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0" w:semiHidden="0" w:name="caption"/>
    <w:lsdException w:qFormat="1" w:uiPriority="0" w:semiHidden="0" w:name="table of figures"/>
    <w:lsdException w:uiPriority="99" w:name="envelope address"/>
    <w:lsdException w:uiPriority="99" w:name="envelope return"/>
    <w:lsdException w:qFormat="1" w:uiPriority="0" w:semiHidden="0" w:name="footnote reference"/>
    <w:lsdException w:qFormat="1" w:uiPriority="0" w:semiHidden="0"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0" w:semiHidden="0" w:name="List"/>
    <w:lsdException w:uiPriority="99" w:name="List Bullet"/>
    <w:lsdException w:uiPriority="99" w:name="List Number"/>
    <w:lsdException w:qFormat="1" w:uiPriority="0" w:semiHidden="0" w:name="List 2"/>
    <w:lsdException w:qFormat="1" w:uiPriority="0" w:semiHidden="0" w:name="List 3"/>
    <w:lsdException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semiHidden="0" w:name="Default Paragraph Font"/>
    <w:lsdException w:uiPriority="0" w:semiHidden="0" w:name="Body Text"/>
    <w:lsdException w:uiPriority="0" w:semiHidden="0" w:name="Body Text Indent"/>
    <w:lsdException w:uiPriority="99" w:name="List Continue"/>
    <w:lsdException w:qFormat="1" w:uiPriority="0" w:semiHidden="0"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0" w:semiHidden="0" w:name="Body Text First Indent"/>
    <w:lsdException w:uiPriority="0" w:semiHidden="0" w:name="Body Text First Indent 2"/>
    <w:lsdException w:uiPriority="99" w:name="Note Heading"/>
    <w:lsdException w:qFormat="1" w:uiPriority="0" w:semiHidden="0" w:name="Body Text 2"/>
    <w:lsdException w:uiPriority="99" w:name="Body Text 3"/>
    <w:lsdException w:uiPriority="0" w:semiHidden="0" w:name="Body Text Indent 2"/>
    <w:lsdException w:uiPriority="0" w:semiHidden="0" w:name="Body Text Indent 3"/>
    <w:lsdException w:uiPriority="99" w:name="Block Text"/>
    <w:lsdException w:uiPriority="99" w:semiHidden="0" w:name="Hyperlink"/>
    <w:lsdException w:qFormat="1" w:uiPriority="0" w:semiHidden="0" w:name="FollowedHyperlink"/>
    <w:lsdException w:qFormat="1" w:unhideWhenUsed="0" w:uiPriority="22" w:semiHidden="0" w:name="Strong"/>
    <w:lsdException w:qFormat="1" w:unhideWhenUsed="0" w:uiPriority="20" w:semiHidden="0" w:name="Emphasis"/>
    <w:lsdException w:qFormat="1" w:uiPriority="0" w:semiHidden="0"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56"/>
    <w:qFormat/>
    <w:uiPriority w:val="0"/>
    <w:pPr>
      <w:keepNext/>
      <w:keepLines/>
      <w:spacing w:before="340" w:after="330" w:line="576" w:lineRule="auto"/>
      <w:outlineLvl w:val="0"/>
    </w:pPr>
    <w:rPr>
      <w:rFonts w:ascii="Times New Roman" w:hAnsi="Times New Roman"/>
      <w:b/>
      <w:bCs/>
      <w:kern w:val="44"/>
      <w:sz w:val="44"/>
      <w:szCs w:val="44"/>
      <w:lang w:val="zh-CN"/>
    </w:rPr>
  </w:style>
  <w:style w:type="paragraph" w:styleId="3">
    <w:name w:val="heading 2"/>
    <w:basedOn w:val="1"/>
    <w:next w:val="1"/>
    <w:link w:val="57"/>
    <w:unhideWhenUsed/>
    <w:qFormat/>
    <w:uiPriority w:val="0"/>
    <w:pPr>
      <w:keepNext/>
      <w:keepLines/>
      <w:spacing w:before="260" w:after="260" w:line="413" w:lineRule="auto"/>
      <w:outlineLvl w:val="1"/>
    </w:pPr>
    <w:rPr>
      <w:rFonts w:ascii="Arial" w:hAnsi="Arial" w:eastAsia="黑体"/>
      <w:b/>
      <w:bCs/>
      <w:kern w:val="0"/>
      <w:sz w:val="32"/>
      <w:szCs w:val="32"/>
      <w:lang w:val="zh-CN"/>
    </w:rPr>
  </w:style>
  <w:style w:type="paragraph" w:styleId="4">
    <w:name w:val="heading 3"/>
    <w:basedOn w:val="1"/>
    <w:next w:val="1"/>
    <w:link w:val="58"/>
    <w:unhideWhenUsed/>
    <w:qFormat/>
    <w:uiPriority w:val="0"/>
    <w:pPr>
      <w:spacing w:line="440" w:lineRule="atLeast"/>
      <w:outlineLvl w:val="2"/>
    </w:pPr>
    <w:rPr>
      <w:rFonts w:ascii="Times New Roman" w:hAnsi="Times New Roman" w:eastAsia="楷体_GB2312"/>
      <w:kern w:val="0"/>
      <w:sz w:val="28"/>
      <w:szCs w:val="20"/>
      <w:lang w:val="zh-CN"/>
    </w:rPr>
  </w:style>
  <w:style w:type="paragraph" w:styleId="5">
    <w:name w:val="heading 4"/>
    <w:basedOn w:val="1"/>
    <w:next w:val="1"/>
    <w:link w:val="59"/>
    <w:unhideWhenUsed/>
    <w:qFormat/>
    <w:uiPriority w:val="0"/>
    <w:pPr>
      <w:keepNext/>
      <w:keepLines/>
      <w:spacing w:before="280" w:after="290" w:line="372" w:lineRule="auto"/>
      <w:outlineLvl w:val="3"/>
    </w:pPr>
    <w:rPr>
      <w:rFonts w:ascii="Arial" w:hAnsi="Arial" w:eastAsia="黑体"/>
      <w:b/>
      <w:bCs/>
      <w:kern w:val="0"/>
      <w:sz w:val="28"/>
      <w:szCs w:val="28"/>
      <w:lang w:val="zh-CN"/>
    </w:rPr>
  </w:style>
  <w:style w:type="paragraph" w:styleId="6">
    <w:name w:val="heading 5"/>
    <w:basedOn w:val="1"/>
    <w:next w:val="1"/>
    <w:link w:val="60"/>
    <w:unhideWhenUsed/>
    <w:qFormat/>
    <w:uiPriority w:val="0"/>
    <w:pPr>
      <w:keepNext/>
      <w:keepLines/>
      <w:spacing w:before="280" w:after="290" w:line="372" w:lineRule="auto"/>
      <w:outlineLvl w:val="4"/>
    </w:pPr>
    <w:rPr>
      <w:rFonts w:ascii="Times New Roman" w:hAnsi="Times New Roman"/>
      <w:b/>
      <w:bCs/>
      <w:kern w:val="0"/>
      <w:sz w:val="28"/>
      <w:szCs w:val="28"/>
      <w:lang w:val="zh-CN"/>
    </w:rPr>
  </w:style>
  <w:style w:type="character" w:default="1" w:styleId="46">
    <w:name w:val="Default Paragraph Font"/>
    <w:unhideWhenUsed/>
    <w:uiPriority w:val="1"/>
  </w:style>
  <w:style w:type="table" w:default="1" w:styleId="53">
    <w:name w:val="Normal Table"/>
    <w:unhideWhenUsed/>
    <w:uiPriority w:val="99"/>
    <w:tblPr>
      <w:tblLayout w:type="fixed"/>
      <w:tblCellMar>
        <w:top w:w="0" w:type="dxa"/>
        <w:left w:w="108" w:type="dxa"/>
        <w:bottom w:w="0" w:type="dxa"/>
        <w:right w:w="108" w:type="dxa"/>
      </w:tblCellMar>
    </w:tblPr>
  </w:style>
  <w:style w:type="paragraph" w:styleId="7">
    <w:name w:val="List 3"/>
    <w:basedOn w:val="1"/>
    <w:unhideWhenUsed/>
    <w:qFormat/>
    <w:uiPriority w:val="0"/>
    <w:pPr>
      <w:ind w:left="100" w:leftChars="400" w:hanging="200" w:hangingChars="200"/>
    </w:pPr>
    <w:rPr>
      <w:rFonts w:ascii="Times New Roman" w:hAnsi="Times New Roman"/>
      <w:szCs w:val="24"/>
    </w:rPr>
  </w:style>
  <w:style w:type="paragraph" w:styleId="8">
    <w:name w:val="annotation subject"/>
    <w:basedOn w:val="9"/>
    <w:next w:val="9"/>
    <w:link w:val="73"/>
    <w:unhideWhenUsed/>
    <w:uiPriority w:val="0"/>
    <w:rPr>
      <w:rFonts w:ascii="Times New Roman" w:hAnsi="Times New Roman" w:eastAsiaTheme="minorEastAsia" w:cstheme="minorBidi"/>
      <w:b/>
      <w:bCs/>
      <w:szCs w:val="24"/>
    </w:rPr>
  </w:style>
  <w:style w:type="paragraph" w:styleId="9">
    <w:name w:val="annotation text"/>
    <w:basedOn w:val="1"/>
    <w:link w:val="62"/>
    <w:unhideWhenUsed/>
    <w:qFormat/>
    <w:uiPriority w:val="99"/>
    <w:pPr>
      <w:jc w:val="left"/>
    </w:pPr>
  </w:style>
  <w:style w:type="paragraph" w:styleId="10">
    <w:name w:val="toc 7"/>
    <w:basedOn w:val="1"/>
    <w:next w:val="1"/>
    <w:unhideWhenUsed/>
    <w:uiPriority w:val="0"/>
    <w:pPr>
      <w:ind w:left="2520"/>
    </w:pPr>
    <w:rPr>
      <w:rFonts w:ascii="Times New Roman" w:hAnsi="Times New Roman"/>
      <w:szCs w:val="24"/>
    </w:rPr>
  </w:style>
  <w:style w:type="paragraph" w:styleId="11">
    <w:name w:val="Body Text First Indent"/>
    <w:basedOn w:val="12"/>
    <w:link w:val="74"/>
    <w:unhideWhenUsed/>
    <w:uiPriority w:val="0"/>
    <w:pPr>
      <w:ind w:firstLine="420" w:firstLineChars="100"/>
    </w:pPr>
    <w:rPr>
      <w:rFonts w:ascii="Times New Roman" w:hAnsi="Times New Roman"/>
      <w:szCs w:val="24"/>
    </w:rPr>
  </w:style>
  <w:style w:type="paragraph" w:styleId="12">
    <w:name w:val="Body Text"/>
    <w:basedOn w:val="1"/>
    <w:link w:val="63"/>
    <w:unhideWhenUsed/>
    <w:uiPriority w:val="0"/>
    <w:pPr>
      <w:spacing w:after="120"/>
    </w:pPr>
    <w:rPr>
      <w:kern w:val="0"/>
      <w:sz w:val="20"/>
      <w:szCs w:val="20"/>
      <w:lang w:val="zh-CN"/>
    </w:rPr>
  </w:style>
  <w:style w:type="paragraph" w:styleId="13">
    <w:name w:val="Normal Indent"/>
    <w:basedOn w:val="1"/>
    <w:link w:val="136"/>
    <w:unhideWhenUsed/>
    <w:uiPriority w:val="0"/>
    <w:pPr>
      <w:autoSpaceDE w:val="0"/>
      <w:autoSpaceDN w:val="0"/>
      <w:adjustRightInd w:val="0"/>
      <w:ind w:firstLine="420"/>
      <w:jc w:val="left"/>
    </w:pPr>
    <w:rPr>
      <w:rFonts w:ascii="宋体" w:hAnsi="Times New Roman"/>
      <w:kern w:val="0"/>
      <w:sz w:val="34"/>
      <w:szCs w:val="20"/>
      <w:lang w:val="zh-CN"/>
    </w:rPr>
  </w:style>
  <w:style w:type="paragraph" w:styleId="14">
    <w:name w:val="caption"/>
    <w:basedOn w:val="1"/>
    <w:next w:val="1"/>
    <w:unhideWhenUsed/>
    <w:qFormat/>
    <w:uiPriority w:val="0"/>
    <w:rPr>
      <w:rFonts w:ascii="Arial" w:hAnsi="Arial" w:eastAsia="黑体" w:cs="Arial"/>
      <w:sz w:val="20"/>
      <w:szCs w:val="20"/>
    </w:rPr>
  </w:style>
  <w:style w:type="paragraph" w:styleId="15">
    <w:name w:val="Document Map"/>
    <w:basedOn w:val="1"/>
    <w:link w:val="61"/>
    <w:unhideWhenUsed/>
    <w:qFormat/>
    <w:uiPriority w:val="0"/>
    <w:pPr>
      <w:shd w:val="clear" w:color="auto" w:fill="000080"/>
    </w:pPr>
    <w:rPr>
      <w:rFonts w:ascii="Times New Roman" w:hAnsi="Times New Roman"/>
      <w:kern w:val="0"/>
      <w:sz w:val="20"/>
      <w:szCs w:val="24"/>
      <w:lang w:val="zh-CN"/>
    </w:rPr>
  </w:style>
  <w:style w:type="paragraph" w:styleId="16">
    <w:name w:val="toa heading"/>
    <w:basedOn w:val="1"/>
    <w:next w:val="1"/>
    <w:unhideWhenUsed/>
    <w:qFormat/>
    <w:uiPriority w:val="0"/>
    <w:pPr>
      <w:spacing w:before="120"/>
    </w:pPr>
    <w:rPr>
      <w:rFonts w:ascii="Arial" w:hAnsi="Arial" w:cs="Arial"/>
      <w:sz w:val="24"/>
      <w:szCs w:val="24"/>
    </w:rPr>
  </w:style>
  <w:style w:type="paragraph" w:styleId="17">
    <w:name w:val="Body Text Indent"/>
    <w:basedOn w:val="1"/>
    <w:link w:val="64"/>
    <w:unhideWhenUsed/>
    <w:uiPriority w:val="0"/>
    <w:pPr>
      <w:spacing w:after="120"/>
      <w:ind w:left="420" w:leftChars="200"/>
    </w:pPr>
    <w:rPr>
      <w:kern w:val="0"/>
      <w:sz w:val="20"/>
      <w:szCs w:val="20"/>
      <w:lang w:val="zh-CN"/>
    </w:rPr>
  </w:style>
  <w:style w:type="paragraph" w:styleId="18">
    <w:name w:val="List 2"/>
    <w:basedOn w:val="1"/>
    <w:unhideWhenUsed/>
    <w:qFormat/>
    <w:uiPriority w:val="0"/>
    <w:pPr>
      <w:ind w:left="100" w:leftChars="200" w:hanging="200" w:hangingChars="200"/>
    </w:pPr>
    <w:rPr>
      <w:rFonts w:ascii="Times New Roman" w:hAnsi="Times New Roman"/>
      <w:szCs w:val="24"/>
    </w:rPr>
  </w:style>
  <w:style w:type="paragraph" w:styleId="19">
    <w:name w:val="toc 5"/>
    <w:basedOn w:val="1"/>
    <w:next w:val="1"/>
    <w:unhideWhenUsed/>
    <w:qFormat/>
    <w:uiPriority w:val="0"/>
    <w:pPr>
      <w:ind w:left="1680"/>
    </w:pPr>
    <w:rPr>
      <w:rFonts w:ascii="Times New Roman" w:hAnsi="Times New Roman"/>
      <w:szCs w:val="24"/>
    </w:rPr>
  </w:style>
  <w:style w:type="paragraph" w:styleId="20">
    <w:name w:val="toc 3"/>
    <w:basedOn w:val="1"/>
    <w:next w:val="1"/>
    <w:unhideWhenUsed/>
    <w:qFormat/>
    <w:uiPriority w:val="39"/>
    <w:pPr>
      <w:spacing w:line="360" w:lineRule="auto"/>
      <w:ind w:left="400" w:leftChars="400"/>
    </w:pPr>
    <w:rPr>
      <w:rFonts w:ascii="Times New Roman" w:hAnsi="Times New Roman"/>
      <w:szCs w:val="24"/>
    </w:rPr>
  </w:style>
  <w:style w:type="paragraph" w:styleId="21">
    <w:name w:val="Plain Text"/>
    <w:basedOn w:val="1"/>
    <w:link w:val="65"/>
    <w:unhideWhenUsed/>
    <w:qFormat/>
    <w:uiPriority w:val="0"/>
    <w:rPr>
      <w:rFonts w:ascii="宋体" w:hAnsi="Courier New"/>
      <w:kern w:val="0"/>
      <w:sz w:val="20"/>
      <w:szCs w:val="21"/>
      <w:lang w:val="zh-CN"/>
    </w:rPr>
  </w:style>
  <w:style w:type="paragraph" w:styleId="22">
    <w:name w:val="toc 8"/>
    <w:basedOn w:val="1"/>
    <w:next w:val="1"/>
    <w:unhideWhenUsed/>
    <w:uiPriority w:val="0"/>
    <w:pPr>
      <w:ind w:left="2940"/>
    </w:pPr>
    <w:rPr>
      <w:rFonts w:ascii="Times New Roman" w:hAnsi="Times New Roman"/>
      <w:szCs w:val="24"/>
    </w:rPr>
  </w:style>
  <w:style w:type="paragraph" w:styleId="23">
    <w:name w:val="index 3"/>
    <w:basedOn w:val="1"/>
    <w:next w:val="1"/>
    <w:unhideWhenUsed/>
    <w:uiPriority w:val="0"/>
    <w:pPr>
      <w:ind w:left="400" w:leftChars="400"/>
    </w:pPr>
    <w:rPr>
      <w:rFonts w:ascii="Times New Roman" w:hAnsi="Times New Roman"/>
      <w:szCs w:val="24"/>
    </w:rPr>
  </w:style>
  <w:style w:type="paragraph" w:styleId="24">
    <w:name w:val="Date"/>
    <w:basedOn w:val="1"/>
    <w:next w:val="1"/>
    <w:link w:val="66"/>
    <w:unhideWhenUsed/>
    <w:qFormat/>
    <w:uiPriority w:val="0"/>
    <w:pPr>
      <w:ind w:left="100" w:leftChars="2500"/>
    </w:pPr>
    <w:rPr>
      <w:rFonts w:ascii="Times New Roman" w:hAnsi="Times New Roman"/>
      <w:b/>
      <w:bCs/>
      <w:kern w:val="0"/>
      <w:sz w:val="36"/>
      <w:szCs w:val="24"/>
      <w:lang w:val="zh-CN"/>
    </w:rPr>
  </w:style>
  <w:style w:type="paragraph" w:styleId="25">
    <w:name w:val="Body Text Indent 2"/>
    <w:basedOn w:val="1"/>
    <w:link w:val="67"/>
    <w:unhideWhenUsed/>
    <w:uiPriority w:val="0"/>
    <w:pPr>
      <w:spacing w:after="120" w:line="480" w:lineRule="auto"/>
      <w:ind w:left="420" w:leftChars="200"/>
    </w:pPr>
    <w:rPr>
      <w:rFonts w:ascii="Times New Roman" w:hAnsi="Times New Roman"/>
      <w:kern w:val="0"/>
      <w:sz w:val="20"/>
      <w:szCs w:val="24"/>
      <w:lang w:val="zh-CN"/>
    </w:rPr>
  </w:style>
  <w:style w:type="paragraph" w:styleId="26">
    <w:name w:val="Balloon Text"/>
    <w:basedOn w:val="1"/>
    <w:link w:val="68"/>
    <w:unhideWhenUsed/>
    <w:uiPriority w:val="0"/>
    <w:rPr>
      <w:rFonts w:ascii="Times New Roman" w:hAnsi="Times New Roman"/>
      <w:kern w:val="0"/>
      <w:sz w:val="18"/>
      <w:szCs w:val="18"/>
      <w:lang w:val="zh-CN"/>
    </w:rPr>
  </w:style>
  <w:style w:type="paragraph" w:styleId="27">
    <w:name w:val="footer"/>
    <w:basedOn w:val="1"/>
    <w:link w:val="5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28">
    <w:name w:val="Body Text First Indent 2"/>
    <w:basedOn w:val="17"/>
    <w:link w:val="75"/>
    <w:unhideWhenUsed/>
    <w:uiPriority w:val="0"/>
    <w:pPr>
      <w:ind w:firstLine="420" w:firstLineChars="200"/>
    </w:pPr>
    <w:rPr>
      <w:rFonts w:ascii="Times New Roman" w:hAnsi="Times New Roman"/>
      <w:szCs w:val="24"/>
    </w:rPr>
  </w:style>
  <w:style w:type="paragraph" w:styleId="29">
    <w:name w:val="header"/>
    <w:basedOn w:val="1"/>
    <w:link w:val="5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30">
    <w:name w:val="toc 1"/>
    <w:basedOn w:val="2"/>
    <w:next w:val="1"/>
    <w:unhideWhenUsed/>
    <w:qFormat/>
    <w:uiPriority w:val="39"/>
    <w:pPr>
      <w:tabs>
        <w:tab w:val="right" w:leader="dot" w:pos="8659"/>
      </w:tabs>
      <w:spacing w:before="0" w:after="0" w:line="240" w:lineRule="auto"/>
      <w:jc w:val="center"/>
    </w:pPr>
    <w:rPr>
      <w:b w:val="0"/>
      <w:sz w:val="21"/>
    </w:rPr>
  </w:style>
  <w:style w:type="paragraph" w:styleId="31">
    <w:name w:val="toc 4"/>
    <w:basedOn w:val="1"/>
    <w:next w:val="1"/>
    <w:unhideWhenUsed/>
    <w:qFormat/>
    <w:uiPriority w:val="0"/>
    <w:pPr>
      <w:ind w:left="1260"/>
    </w:pPr>
    <w:rPr>
      <w:rFonts w:ascii="Times New Roman" w:hAnsi="Times New Roman"/>
      <w:szCs w:val="24"/>
    </w:rPr>
  </w:style>
  <w:style w:type="paragraph" w:styleId="32">
    <w:name w:val="List"/>
    <w:basedOn w:val="1"/>
    <w:unhideWhenUsed/>
    <w:uiPriority w:val="0"/>
    <w:pPr>
      <w:ind w:left="200" w:hanging="200" w:hangingChars="200"/>
    </w:pPr>
    <w:rPr>
      <w:rFonts w:ascii="Times New Roman" w:hAnsi="Times New Roman"/>
      <w:szCs w:val="24"/>
    </w:rPr>
  </w:style>
  <w:style w:type="paragraph" w:styleId="33">
    <w:name w:val="footnote text"/>
    <w:basedOn w:val="1"/>
    <w:link w:val="69"/>
    <w:unhideWhenUsed/>
    <w:uiPriority w:val="0"/>
    <w:pPr>
      <w:snapToGrid w:val="0"/>
      <w:jc w:val="left"/>
    </w:pPr>
    <w:rPr>
      <w:rFonts w:ascii="Times New Roman" w:hAnsi="Times New Roman"/>
      <w:kern w:val="0"/>
      <w:sz w:val="18"/>
      <w:szCs w:val="18"/>
      <w:lang w:val="zh-CN"/>
    </w:rPr>
  </w:style>
  <w:style w:type="paragraph" w:styleId="34">
    <w:name w:val="toc 6"/>
    <w:basedOn w:val="1"/>
    <w:next w:val="1"/>
    <w:unhideWhenUsed/>
    <w:qFormat/>
    <w:uiPriority w:val="0"/>
    <w:pPr>
      <w:ind w:left="2100"/>
    </w:pPr>
    <w:rPr>
      <w:rFonts w:ascii="Times New Roman" w:hAnsi="Times New Roman"/>
      <w:szCs w:val="24"/>
    </w:rPr>
  </w:style>
  <w:style w:type="paragraph" w:styleId="35">
    <w:name w:val="Body Text Indent 3"/>
    <w:basedOn w:val="1"/>
    <w:link w:val="70"/>
    <w:unhideWhenUsed/>
    <w:uiPriority w:val="0"/>
    <w:pPr>
      <w:spacing w:line="540" w:lineRule="atLeast"/>
      <w:ind w:firstLine="480" w:firstLineChars="200"/>
    </w:pPr>
    <w:rPr>
      <w:rFonts w:ascii="Times New Roman" w:hAnsi="Times New Roman"/>
      <w:kern w:val="0"/>
      <w:sz w:val="24"/>
      <w:szCs w:val="24"/>
      <w:lang w:val="zh-CN"/>
    </w:rPr>
  </w:style>
  <w:style w:type="paragraph" w:styleId="36">
    <w:name w:val="table of figures"/>
    <w:basedOn w:val="1"/>
    <w:next w:val="1"/>
    <w:unhideWhenUsed/>
    <w:qFormat/>
    <w:uiPriority w:val="0"/>
    <w:pPr>
      <w:ind w:left="200" w:leftChars="200" w:hanging="200" w:hangingChars="200"/>
    </w:pPr>
    <w:rPr>
      <w:rFonts w:ascii="Times New Roman" w:hAnsi="Times New Roman"/>
      <w:szCs w:val="24"/>
    </w:rPr>
  </w:style>
  <w:style w:type="paragraph" w:styleId="37">
    <w:name w:val="toc 2"/>
    <w:basedOn w:val="1"/>
    <w:next w:val="1"/>
    <w:unhideWhenUsed/>
    <w:qFormat/>
    <w:uiPriority w:val="39"/>
    <w:pPr>
      <w:spacing w:line="360" w:lineRule="auto"/>
      <w:ind w:left="200" w:leftChars="200"/>
    </w:pPr>
    <w:rPr>
      <w:rFonts w:ascii="Times New Roman" w:hAnsi="Times New Roman"/>
      <w:szCs w:val="24"/>
    </w:rPr>
  </w:style>
  <w:style w:type="paragraph" w:styleId="38">
    <w:name w:val="toc 9"/>
    <w:basedOn w:val="1"/>
    <w:next w:val="1"/>
    <w:unhideWhenUsed/>
    <w:uiPriority w:val="0"/>
    <w:pPr>
      <w:ind w:left="3360"/>
    </w:pPr>
    <w:rPr>
      <w:rFonts w:ascii="Times New Roman" w:hAnsi="Times New Roman"/>
      <w:szCs w:val="24"/>
    </w:rPr>
  </w:style>
  <w:style w:type="paragraph" w:styleId="39">
    <w:name w:val="Body Text 2"/>
    <w:basedOn w:val="1"/>
    <w:link w:val="71"/>
    <w:unhideWhenUsed/>
    <w:qFormat/>
    <w:uiPriority w:val="0"/>
    <w:pPr>
      <w:spacing w:after="120" w:line="480" w:lineRule="auto"/>
    </w:pPr>
    <w:rPr>
      <w:rFonts w:ascii="Times New Roman" w:hAnsi="Times New Roman"/>
      <w:kern w:val="0"/>
      <w:sz w:val="20"/>
      <w:szCs w:val="24"/>
      <w:lang w:val="zh-CN"/>
    </w:rPr>
  </w:style>
  <w:style w:type="paragraph" w:styleId="40">
    <w:name w:val="List 4"/>
    <w:basedOn w:val="1"/>
    <w:unhideWhenUsed/>
    <w:uiPriority w:val="0"/>
    <w:pPr>
      <w:ind w:left="100" w:leftChars="600" w:hanging="200" w:hangingChars="200"/>
    </w:pPr>
    <w:rPr>
      <w:rFonts w:ascii="Times New Roman" w:hAnsi="Times New Roman"/>
      <w:szCs w:val="24"/>
    </w:rPr>
  </w:style>
  <w:style w:type="paragraph" w:styleId="41">
    <w:name w:val="List Continue 2"/>
    <w:basedOn w:val="1"/>
    <w:unhideWhenUsed/>
    <w:qFormat/>
    <w:uiPriority w:val="0"/>
    <w:pPr>
      <w:spacing w:after="120"/>
      <w:ind w:left="840" w:leftChars="400"/>
    </w:pPr>
    <w:rPr>
      <w:rFonts w:ascii="Times New Roman" w:hAnsi="Times New Roman"/>
      <w:szCs w:val="24"/>
    </w:rPr>
  </w:style>
  <w:style w:type="paragraph" w:styleId="42">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43">
    <w:name w:val="index 1"/>
    <w:basedOn w:val="1"/>
    <w:next w:val="1"/>
    <w:unhideWhenUsed/>
    <w:qFormat/>
    <w:uiPriority w:val="0"/>
    <w:pPr>
      <w:spacing w:line="320" w:lineRule="exact"/>
    </w:pPr>
    <w:rPr>
      <w:rFonts w:ascii="Times New Roman" w:hAnsi="Times New Roman"/>
      <w:snapToGrid w:val="0"/>
      <w:color w:val="FF6600"/>
      <w:kern w:val="0"/>
      <w:sz w:val="18"/>
      <w:szCs w:val="21"/>
    </w:rPr>
  </w:style>
  <w:style w:type="paragraph" w:styleId="44">
    <w:name w:val="index 2"/>
    <w:basedOn w:val="1"/>
    <w:next w:val="1"/>
    <w:unhideWhenUsed/>
    <w:uiPriority w:val="0"/>
    <w:pPr>
      <w:ind w:left="200" w:leftChars="200"/>
    </w:pPr>
    <w:rPr>
      <w:rFonts w:ascii="Times New Roman" w:hAnsi="Times New Roman"/>
      <w:szCs w:val="24"/>
    </w:rPr>
  </w:style>
  <w:style w:type="paragraph" w:styleId="45">
    <w:name w:val="Title"/>
    <w:basedOn w:val="1"/>
    <w:link w:val="72"/>
    <w:qFormat/>
    <w:uiPriority w:val="0"/>
    <w:pPr>
      <w:spacing w:before="240" w:after="60"/>
      <w:jc w:val="center"/>
      <w:outlineLvl w:val="0"/>
    </w:pPr>
    <w:rPr>
      <w:rFonts w:ascii="Arial" w:hAnsi="Arial"/>
      <w:b/>
      <w:bCs/>
      <w:kern w:val="0"/>
      <w:sz w:val="32"/>
      <w:szCs w:val="32"/>
      <w:lang w:val="zh-CN"/>
    </w:rPr>
  </w:style>
  <w:style w:type="character" w:styleId="47">
    <w:name w:val="page number"/>
    <w:unhideWhenUsed/>
    <w:qFormat/>
    <w:uiPriority w:val="0"/>
    <w:rPr>
      <w:rFonts w:asciiTheme="minorHAnsi" w:hAnsiTheme="minorHAnsi" w:eastAsiaTheme="minorEastAsia" w:cstheme="minorBidi"/>
      <w:kern w:val="2"/>
      <w:sz w:val="21"/>
      <w:szCs w:val="22"/>
      <w:lang w:val="en-US" w:eastAsia="zh-CN" w:bidi="ar-SA"/>
    </w:rPr>
  </w:style>
  <w:style w:type="character" w:styleId="48">
    <w:name w:val="FollowedHyperlink"/>
    <w:unhideWhenUsed/>
    <w:qFormat/>
    <w:uiPriority w:val="0"/>
    <w:rPr>
      <w:rFonts w:asciiTheme="minorHAnsi" w:hAnsiTheme="minorHAnsi" w:eastAsiaTheme="minorEastAsia" w:cstheme="minorBidi"/>
      <w:color w:val="800080"/>
      <w:kern w:val="2"/>
      <w:sz w:val="21"/>
      <w:szCs w:val="22"/>
      <w:u w:val="single"/>
      <w:lang w:val="en-US" w:eastAsia="zh-CN" w:bidi="ar-SA"/>
    </w:rPr>
  </w:style>
  <w:style w:type="character" w:styleId="49">
    <w:name w:val="Emphasis"/>
    <w:qFormat/>
    <w:uiPriority w:val="20"/>
    <w:rPr>
      <w:rFonts w:asciiTheme="minorHAnsi" w:hAnsiTheme="minorHAnsi" w:eastAsiaTheme="minorEastAsia" w:cstheme="minorBidi"/>
      <w:i/>
      <w:iCs/>
      <w:kern w:val="2"/>
      <w:sz w:val="21"/>
      <w:szCs w:val="22"/>
      <w:lang w:val="en-US" w:eastAsia="zh-CN" w:bidi="ar-SA"/>
    </w:rPr>
  </w:style>
  <w:style w:type="character" w:styleId="50">
    <w:name w:val="Hyperlink"/>
    <w:unhideWhenUsed/>
    <w:uiPriority w:val="99"/>
    <w:rPr>
      <w:rFonts w:asciiTheme="minorHAnsi" w:hAnsiTheme="minorHAnsi" w:eastAsiaTheme="minorEastAsia" w:cstheme="minorBidi"/>
      <w:color w:val="0000FF"/>
      <w:kern w:val="2"/>
      <w:sz w:val="21"/>
      <w:szCs w:val="22"/>
      <w:u w:val="single"/>
      <w:lang w:val="en-US" w:eastAsia="zh-CN" w:bidi="ar-SA"/>
    </w:rPr>
  </w:style>
  <w:style w:type="character" w:styleId="51">
    <w:name w:val="annotation reference"/>
    <w:unhideWhenUsed/>
    <w:qFormat/>
    <w:uiPriority w:val="0"/>
    <w:rPr>
      <w:rFonts w:asciiTheme="minorHAnsi" w:hAnsiTheme="minorHAnsi" w:eastAsiaTheme="minorEastAsia" w:cstheme="minorBidi"/>
      <w:kern w:val="2"/>
      <w:sz w:val="21"/>
      <w:szCs w:val="21"/>
      <w:lang w:val="en-US" w:eastAsia="zh-CN" w:bidi="ar-SA"/>
    </w:rPr>
  </w:style>
  <w:style w:type="character" w:styleId="52">
    <w:name w:val="footnote reference"/>
    <w:unhideWhenUsed/>
    <w:qFormat/>
    <w:uiPriority w:val="0"/>
    <w:rPr>
      <w:rFonts w:asciiTheme="minorHAnsi" w:hAnsiTheme="minorHAnsi" w:eastAsiaTheme="minorEastAsia" w:cstheme="minorBidi"/>
      <w:kern w:val="2"/>
      <w:sz w:val="21"/>
      <w:szCs w:val="22"/>
      <w:vertAlign w:val="superscript"/>
      <w:lang w:val="en-US" w:eastAsia="zh-CN" w:bidi="ar-SA"/>
    </w:rPr>
  </w:style>
  <w:style w:type="character" w:customStyle="1" w:styleId="54">
    <w:name w:val="页眉 字符1"/>
    <w:basedOn w:val="46"/>
    <w:link w:val="29"/>
    <w:qFormat/>
    <w:uiPriority w:val="99"/>
    <w:rPr>
      <w:rFonts w:asciiTheme="minorHAnsi" w:hAnsiTheme="minorHAnsi" w:eastAsiaTheme="minorEastAsia" w:cstheme="minorBidi"/>
      <w:kern w:val="2"/>
      <w:sz w:val="18"/>
      <w:szCs w:val="18"/>
      <w:lang w:val="en-US" w:eastAsia="zh-CN" w:bidi="ar-SA"/>
    </w:rPr>
  </w:style>
  <w:style w:type="character" w:customStyle="1" w:styleId="55">
    <w:name w:val="页脚 字符1"/>
    <w:basedOn w:val="46"/>
    <w:link w:val="27"/>
    <w:qFormat/>
    <w:uiPriority w:val="99"/>
    <w:rPr>
      <w:rFonts w:asciiTheme="minorHAnsi" w:hAnsiTheme="minorHAnsi" w:eastAsiaTheme="minorEastAsia" w:cstheme="minorBidi"/>
      <w:kern w:val="2"/>
      <w:sz w:val="18"/>
      <w:szCs w:val="18"/>
      <w:lang w:val="en-US" w:eastAsia="zh-CN" w:bidi="ar-SA"/>
    </w:rPr>
  </w:style>
  <w:style w:type="character" w:customStyle="1" w:styleId="56">
    <w:name w:val="标题 1 字符1"/>
    <w:basedOn w:val="46"/>
    <w:link w:val="2"/>
    <w:qFormat/>
    <w:uiPriority w:val="0"/>
    <w:rPr>
      <w:rFonts w:ascii="Times New Roman" w:hAnsi="Times New Roman" w:eastAsiaTheme="minorEastAsia" w:cstheme="minorBidi"/>
      <w:b/>
      <w:bCs/>
      <w:kern w:val="44"/>
      <w:sz w:val="44"/>
      <w:szCs w:val="44"/>
      <w:lang w:val="zh-CN" w:eastAsia="zh-CN" w:bidi="ar-SA"/>
    </w:rPr>
  </w:style>
  <w:style w:type="character" w:customStyle="1" w:styleId="57">
    <w:name w:val="标题 2 字符1"/>
    <w:basedOn w:val="46"/>
    <w:link w:val="3"/>
    <w:uiPriority w:val="0"/>
    <w:rPr>
      <w:rFonts w:ascii="Arial" w:hAnsi="Arial" w:eastAsia="黑体" w:cstheme="minorBidi"/>
      <w:b/>
      <w:bCs/>
      <w:kern w:val="0"/>
      <w:sz w:val="32"/>
      <w:szCs w:val="32"/>
      <w:lang w:val="zh-CN" w:eastAsia="zh-CN" w:bidi="ar-SA"/>
    </w:rPr>
  </w:style>
  <w:style w:type="character" w:customStyle="1" w:styleId="58">
    <w:name w:val="标题 3 字符1"/>
    <w:basedOn w:val="46"/>
    <w:link w:val="4"/>
    <w:qFormat/>
    <w:uiPriority w:val="0"/>
    <w:rPr>
      <w:rFonts w:ascii="Times New Roman" w:hAnsi="Times New Roman" w:eastAsia="楷体_GB2312" w:cstheme="minorBidi"/>
      <w:kern w:val="0"/>
      <w:sz w:val="28"/>
      <w:szCs w:val="20"/>
      <w:lang w:val="zh-CN" w:eastAsia="zh-CN" w:bidi="ar-SA"/>
    </w:rPr>
  </w:style>
  <w:style w:type="character" w:customStyle="1" w:styleId="59">
    <w:name w:val="标题 4 字符1"/>
    <w:basedOn w:val="46"/>
    <w:link w:val="5"/>
    <w:qFormat/>
    <w:uiPriority w:val="0"/>
    <w:rPr>
      <w:rFonts w:ascii="Arial" w:hAnsi="Arial" w:eastAsia="黑体" w:cstheme="minorBidi"/>
      <w:b/>
      <w:bCs/>
      <w:kern w:val="0"/>
      <w:sz w:val="28"/>
      <w:szCs w:val="28"/>
      <w:lang w:val="zh-CN" w:eastAsia="zh-CN" w:bidi="ar-SA"/>
    </w:rPr>
  </w:style>
  <w:style w:type="character" w:customStyle="1" w:styleId="60">
    <w:name w:val="标题 5 字符1"/>
    <w:basedOn w:val="46"/>
    <w:link w:val="6"/>
    <w:qFormat/>
    <w:uiPriority w:val="0"/>
    <w:rPr>
      <w:rFonts w:ascii="Times New Roman" w:hAnsi="Times New Roman" w:eastAsiaTheme="minorEastAsia" w:cstheme="minorBidi"/>
      <w:b/>
      <w:bCs/>
      <w:kern w:val="0"/>
      <w:sz w:val="28"/>
      <w:szCs w:val="28"/>
      <w:lang w:val="zh-CN" w:eastAsia="zh-CN" w:bidi="ar-SA"/>
    </w:rPr>
  </w:style>
  <w:style w:type="character" w:customStyle="1" w:styleId="61">
    <w:name w:val="文档结构图 字符1"/>
    <w:basedOn w:val="46"/>
    <w:link w:val="15"/>
    <w:qFormat/>
    <w:uiPriority w:val="0"/>
    <w:rPr>
      <w:rFonts w:ascii="Times New Roman" w:hAnsi="Times New Roman" w:eastAsiaTheme="minorEastAsia" w:cstheme="minorBidi"/>
      <w:kern w:val="0"/>
      <w:sz w:val="20"/>
      <w:szCs w:val="24"/>
      <w:lang w:val="zh-CN" w:eastAsia="zh-CN" w:bidi="ar-SA"/>
    </w:rPr>
  </w:style>
  <w:style w:type="character" w:customStyle="1" w:styleId="62">
    <w:name w:val="批注文字 字符"/>
    <w:basedOn w:val="46"/>
    <w:link w:val="9"/>
    <w:semiHidden/>
    <w:qFormat/>
    <w:uiPriority w:val="99"/>
    <w:rPr>
      <w:rFonts w:asciiTheme="minorHAnsi" w:hAnsiTheme="minorHAnsi" w:eastAsiaTheme="minorEastAsia" w:cstheme="minorBidi"/>
      <w:kern w:val="2"/>
      <w:sz w:val="21"/>
      <w:szCs w:val="22"/>
      <w:lang w:val="en-US" w:eastAsia="zh-CN" w:bidi="ar-SA"/>
    </w:rPr>
  </w:style>
  <w:style w:type="character" w:customStyle="1" w:styleId="63">
    <w:name w:val="正文文本 字符1"/>
    <w:basedOn w:val="46"/>
    <w:link w:val="12"/>
    <w:qFormat/>
    <w:uiPriority w:val="0"/>
    <w:rPr>
      <w:rFonts w:asciiTheme="minorHAnsi" w:hAnsiTheme="minorHAnsi" w:eastAsiaTheme="minorEastAsia" w:cstheme="minorBidi"/>
      <w:kern w:val="0"/>
      <w:sz w:val="20"/>
      <w:szCs w:val="20"/>
      <w:lang w:val="zh-CN" w:eastAsia="zh-CN" w:bidi="ar-SA"/>
    </w:rPr>
  </w:style>
  <w:style w:type="character" w:customStyle="1" w:styleId="64">
    <w:name w:val="正文文本缩进 字符1"/>
    <w:basedOn w:val="46"/>
    <w:link w:val="17"/>
    <w:qFormat/>
    <w:uiPriority w:val="0"/>
    <w:rPr>
      <w:rFonts w:asciiTheme="minorHAnsi" w:hAnsiTheme="minorHAnsi" w:eastAsiaTheme="minorEastAsia" w:cstheme="minorBidi"/>
      <w:kern w:val="0"/>
      <w:sz w:val="20"/>
      <w:szCs w:val="20"/>
      <w:lang w:val="zh-CN" w:eastAsia="zh-CN" w:bidi="ar-SA"/>
    </w:rPr>
  </w:style>
  <w:style w:type="character" w:customStyle="1" w:styleId="65">
    <w:name w:val="纯文本 字符1"/>
    <w:basedOn w:val="46"/>
    <w:link w:val="21"/>
    <w:uiPriority w:val="0"/>
    <w:rPr>
      <w:rFonts w:ascii="宋体" w:hAnsi="Courier New" w:eastAsiaTheme="minorEastAsia" w:cstheme="minorBidi"/>
      <w:kern w:val="0"/>
      <w:sz w:val="20"/>
      <w:szCs w:val="21"/>
      <w:lang w:val="zh-CN" w:eastAsia="zh-CN" w:bidi="ar-SA"/>
    </w:rPr>
  </w:style>
  <w:style w:type="character" w:customStyle="1" w:styleId="66">
    <w:name w:val="日期 字符1"/>
    <w:basedOn w:val="46"/>
    <w:link w:val="24"/>
    <w:qFormat/>
    <w:uiPriority w:val="0"/>
    <w:rPr>
      <w:rFonts w:ascii="Times New Roman" w:hAnsi="Times New Roman" w:eastAsiaTheme="minorEastAsia" w:cstheme="minorBidi"/>
      <w:b/>
      <w:bCs/>
      <w:kern w:val="0"/>
      <w:sz w:val="36"/>
      <w:szCs w:val="24"/>
      <w:lang w:val="zh-CN" w:eastAsia="zh-CN" w:bidi="ar-SA"/>
    </w:rPr>
  </w:style>
  <w:style w:type="character" w:customStyle="1" w:styleId="67">
    <w:name w:val="正文文本缩进 2 字符1"/>
    <w:basedOn w:val="46"/>
    <w:link w:val="25"/>
    <w:qFormat/>
    <w:uiPriority w:val="0"/>
    <w:rPr>
      <w:rFonts w:ascii="Times New Roman" w:hAnsi="Times New Roman" w:eastAsiaTheme="minorEastAsia" w:cstheme="minorBidi"/>
      <w:kern w:val="0"/>
      <w:sz w:val="20"/>
      <w:szCs w:val="24"/>
      <w:lang w:val="zh-CN" w:eastAsia="zh-CN" w:bidi="ar-SA"/>
    </w:rPr>
  </w:style>
  <w:style w:type="character" w:customStyle="1" w:styleId="68">
    <w:name w:val="批注框文本 字符1"/>
    <w:basedOn w:val="46"/>
    <w:link w:val="26"/>
    <w:qFormat/>
    <w:uiPriority w:val="0"/>
    <w:rPr>
      <w:rFonts w:ascii="Times New Roman" w:hAnsi="Times New Roman" w:eastAsiaTheme="minorEastAsia" w:cstheme="minorBidi"/>
      <w:kern w:val="0"/>
      <w:sz w:val="18"/>
      <w:szCs w:val="18"/>
      <w:lang w:val="zh-CN" w:eastAsia="zh-CN" w:bidi="ar-SA"/>
    </w:rPr>
  </w:style>
  <w:style w:type="character" w:customStyle="1" w:styleId="69">
    <w:name w:val="脚注文本 字符1"/>
    <w:basedOn w:val="46"/>
    <w:link w:val="33"/>
    <w:qFormat/>
    <w:uiPriority w:val="0"/>
    <w:rPr>
      <w:rFonts w:ascii="Times New Roman" w:hAnsi="Times New Roman" w:eastAsiaTheme="minorEastAsia" w:cstheme="minorBidi"/>
      <w:kern w:val="0"/>
      <w:sz w:val="18"/>
      <w:szCs w:val="18"/>
      <w:lang w:val="zh-CN" w:eastAsia="zh-CN" w:bidi="ar-SA"/>
    </w:rPr>
  </w:style>
  <w:style w:type="character" w:customStyle="1" w:styleId="70">
    <w:name w:val="正文文本缩进 3 字符1"/>
    <w:basedOn w:val="46"/>
    <w:link w:val="35"/>
    <w:qFormat/>
    <w:uiPriority w:val="0"/>
    <w:rPr>
      <w:rFonts w:ascii="Times New Roman" w:hAnsi="Times New Roman" w:eastAsiaTheme="minorEastAsia" w:cstheme="minorBidi"/>
      <w:kern w:val="0"/>
      <w:sz w:val="24"/>
      <w:szCs w:val="24"/>
      <w:lang w:val="zh-CN" w:eastAsia="zh-CN" w:bidi="ar-SA"/>
    </w:rPr>
  </w:style>
  <w:style w:type="character" w:customStyle="1" w:styleId="71">
    <w:name w:val="正文文本 2 字符1"/>
    <w:basedOn w:val="46"/>
    <w:link w:val="39"/>
    <w:qFormat/>
    <w:uiPriority w:val="0"/>
    <w:rPr>
      <w:rFonts w:ascii="Times New Roman" w:hAnsi="Times New Roman" w:eastAsiaTheme="minorEastAsia" w:cstheme="minorBidi"/>
      <w:kern w:val="0"/>
      <w:sz w:val="20"/>
      <w:szCs w:val="24"/>
      <w:lang w:val="zh-CN" w:eastAsia="zh-CN" w:bidi="ar-SA"/>
    </w:rPr>
  </w:style>
  <w:style w:type="character" w:customStyle="1" w:styleId="72">
    <w:name w:val="标题 字符1"/>
    <w:basedOn w:val="46"/>
    <w:link w:val="45"/>
    <w:qFormat/>
    <w:uiPriority w:val="0"/>
    <w:rPr>
      <w:rFonts w:ascii="Arial" w:hAnsi="Arial" w:eastAsiaTheme="minorEastAsia" w:cstheme="minorBidi"/>
      <w:b/>
      <w:bCs/>
      <w:kern w:val="0"/>
      <w:sz w:val="32"/>
      <w:szCs w:val="32"/>
      <w:lang w:val="zh-CN" w:eastAsia="zh-CN" w:bidi="ar-SA"/>
    </w:rPr>
  </w:style>
  <w:style w:type="character" w:customStyle="1" w:styleId="73">
    <w:name w:val="批注主题 字符"/>
    <w:basedOn w:val="62"/>
    <w:link w:val="8"/>
    <w:semiHidden/>
    <w:qFormat/>
    <w:uiPriority w:val="0"/>
    <w:rPr>
      <w:rFonts w:ascii="Times New Roman" w:hAnsi="Times New Roman" w:eastAsiaTheme="minorEastAsia" w:cstheme="minorBidi"/>
      <w:b/>
      <w:bCs/>
      <w:szCs w:val="24"/>
    </w:rPr>
  </w:style>
  <w:style w:type="character" w:customStyle="1" w:styleId="74">
    <w:name w:val="正文文本首行缩进 字符"/>
    <w:basedOn w:val="63"/>
    <w:link w:val="11"/>
    <w:qFormat/>
    <w:uiPriority w:val="0"/>
    <w:rPr>
      <w:rFonts w:ascii="Times New Roman" w:hAnsi="Times New Roman"/>
      <w:szCs w:val="24"/>
    </w:rPr>
  </w:style>
  <w:style w:type="character" w:customStyle="1" w:styleId="75">
    <w:name w:val="正文文本首行缩进 2 字符"/>
    <w:basedOn w:val="64"/>
    <w:link w:val="28"/>
    <w:qFormat/>
    <w:uiPriority w:val="0"/>
    <w:rPr>
      <w:rFonts w:ascii="Times New Roman" w:hAnsi="Times New Roman"/>
      <w:szCs w:val="24"/>
    </w:rPr>
  </w:style>
  <w:style w:type="character" w:customStyle="1" w:styleId="76">
    <w:name w:val="标题 1 字符"/>
    <w:qFormat/>
    <w:uiPriority w:val="9"/>
    <w:rPr>
      <w:rFonts w:asciiTheme="minorHAnsi" w:hAnsiTheme="minorHAnsi" w:eastAsiaTheme="minorEastAsia" w:cstheme="minorBidi"/>
      <w:b/>
      <w:bCs/>
      <w:kern w:val="44"/>
      <w:sz w:val="44"/>
      <w:szCs w:val="44"/>
      <w:lang w:val="en-US" w:eastAsia="zh-CN" w:bidi="ar-SA"/>
    </w:rPr>
  </w:style>
  <w:style w:type="character" w:customStyle="1" w:styleId="77">
    <w:name w:val="标题 2 字符"/>
    <w:semiHidden/>
    <w:qFormat/>
    <w:uiPriority w:val="9"/>
    <w:rPr>
      <w:rFonts w:ascii="Calibri Light" w:hAnsi="Calibri Light" w:eastAsia="宋体" w:cs="Times New Roman"/>
      <w:b/>
      <w:bCs/>
      <w:kern w:val="2"/>
      <w:sz w:val="32"/>
      <w:szCs w:val="32"/>
      <w:lang w:val="en-US" w:eastAsia="zh-CN" w:bidi="ar-SA"/>
    </w:rPr>
  </w:style>
  <w:style w:type="character" w:customStyle="1" w:styleId="78">
    <w:name w:val="标题 3 字符"/>
    <w:semiHidden/>
    <w:qFormat/>
    <w:uiPriority w:val="9"/>
    <w:rPr>
      <w:rFonts w:asciiTheme="minorHAnsi" w:hAnsiTheme="minorHAnsi" w:eastAsiaTheme="minorEastAsia" w:cstheme="minorBidi"/>
      <w:b/>
      <w:bCs/>
      <w:kern w:val="2"/>
      <w:sz w:val="32"/>
      <w:szCs w:val="32"/>
      <w:lang w:val="en-US" w:eastAsia="zh-CN" w:bidi="ar-SA"/>
    </w:rPr>
  </w:style>
  <w:style w:type="character" w:customStyle="1" w:styleId="79">
    <w:name w:val="标题 4 字符"/>
    <w:semiHidden/>
    <w:qFormat/>
    <w:uiPriority w:val="9"/>
    <w:rPr>
      <w:rFonts w:ascii="Calibri Light" w:hAnsi="Calibri Light" w:eastAsia="宋体" w:cs="Times New Roman"/>
      <w:b/>
      <w:bCs/>
      <w:kern w:val="2"/>
      <w:sz w:val="28"/>
      <w:szCs w:val="28"/>
      <w:lang w:val="en-US" w:eastAsia="zh-CN" w:bidi="ar-SA"/>
    </w:rPr>
  </w:style>
  <w:style w:type="character" w:customStyle="1" w:styleId="80">
    <w:name w:val="标题 5 字符"/>
    <w:semiHidden/>
    <w:qFormat/>
    <w:uiPriority w:val="9"/>
    <w:rPr>
      <w:rFonts w:asciiTheme="minorHAnsi" w:hAnsiTheme="minorHAnsi" w:eastAsiaTheme="minorEastAsia" w:cstheme="minorBidi"/>
      <w:b/>
      <w:bCs/>
      <w:kern w:val="2"/>
      <w:sz w:val="28"/>
      <w:szCs w:val="28"/>
      <w:lang w:val="en-US" w:eastAsia="zh-CN" w:bidi="ar-SA"/>
    </w:rPr>
  </w:style>
  <w:style w:type="character" w:customStyle="1" w:styleId="81">
    <w:name w:val="zbggmain style9"/>
    <w:qFormat/>
    <w:uiPriority w:val="0"/>
    <w:rPr>
      <w:rFonts w:asciiTheme="minorHAnsi" w:hAnsiTheme="minorHAnsi" w:eastAsiaTheme="minorEastAsia" w:cstheme="minorBidi"/>
      <w:kern w:val="2"/>
      <w:sz w:val="21"/>
      <w:szCs w:val="22"/>
      <w:lang w:val="en-US" w:eastAsia="zh-CN" w:bidi="ar-SA"/>
    </w:rPr>
  </w:style>
  <w:style w:type="character" w:customStyle="1" w:styleId="82">
    <w:name w:val="正文文本缩进 3 字符"/>
    <w:semiHidden/>
    <w:qFormat/>
    <w:uiPriority w:val="99"/>
    <w:rPr>
      <w:rFonts w:asciiTheme="minorHAnsi" w:hAnsiTheme="minorHAnsi" w:eastAsiaTheme="minorEastAsia" w:cstheme="minorBidi"/>
      <w:kern w:val="2"/>
      <w:sz w:val="16"/>
      <w:szCs w:val="16"/>
      <w:lang w:val="en-US" w:eastAsia="zh-CN" w:bidi="ar-SA"/>
    </w:rPr>
  </w:style>
  <w:style w:type="character" w:customStyle="1" w:styleId="83">
    <w:name w:val="正文文本缩进 字符"/>
    <w:basedOn w:val="46"/>
    <w:semiHidden/>
    <w:qFormat/>
    <w:uiPriority w:val="99"/>
    <w:rPr>
      <w:rFonts w:asciiTheme="minorHAnsi" w:hAnsiTheme="minorHAnsi" w:eastAsiaTheme="minorEastAsia" w:cstheme="minorBidi"/>
      <w:kern w:val="2"/>
      <w:sz w:val="21"/>
      <w:szCs w:val="22"/>
      <w:lang w:val="en-US" w:eastAsia="zh-CN" w:bidi="ar-SA"/>
    </w:rPr>
  </w:style>
  <w:style w:type="character" w:customStyle="1" w:styleId="84">
    <w:name w:val="正文首行缩进 2 字符"/>
    <w:basedOn w:val="83"/>
    <w:semiHidden/>
    <w:qFormat/>
    <w:uiPriority w:val="99"/>
  </w:style>
  <w:style w:type="character" w:customStyle="1" w:styleId="85">
    <w:name w:val="页眉 字符"/>
    <w:semiHidden/>
    <w:qFormat/>
    <w:uiPriority w:val="99"/>
    <w:rPr>
      <w:rFonts w:asciiTheme="minorHAnsi" w:hAnsiTheme="minorHAnsi" w:eastAsiaTheme="minorEastAsia" w:cstheme="minorBidi"/>
      <w:kern w:val="2"/>
      <w:sz w:val="18"/>
      <w:szCs w:val="18"/>
      <w:lang w:val="en-US" w:eastAsia="zh-CN" w:bidi="ar-SA"/>
    </w:rPr>
  </w:style>
  <w:style w:type="character" w:customStyle="1" w:styleId="86">
    <w:name w:val="文档结构图 字符"/>
    <w:semiHidden/>
    <w:qFormat/>
    <w:uiPriority w:val="99"/>
    <w:rPr>
      <w:rFonts w:ascii="Microsoft YaHei UI" w:eastAsia="Microsoft YaHei UI" w:hAnsiTheme="minorHAnsi" w:cstheme="minorBidi"/>
      <w:kern w:val="2"/>
      <w:sz w:val="18"/>
      <w:szCs w:val="18"/>
      <w:lang w:val="en-US" w:eastAsia="zh-CN" w:bidi="ar-SA"/>
    </w:rPr>
  </w:style>
  <w:style w:type="character" w:customStyle="1" w:styleId="87">
    <w:name w:val="日期 字符"/>
    <w:basedOn w:val="46"/>
    <w:semiHidden/>
    <w:qFormat/>
    <w:uiPriority w:val="99"/>
    <w:rPr>
      <w:rFonts w:asciiTheme="minorHAnsi" w:hAnsiTheme="minorHAnsi" w:eastAsiaTheme="minorEastAsia" w:cstheme="minorBidi"/>
      <w:kern w:val="2"/>
      <w:sz w:val="21"/>
      <w:szCs w:val="22"/>
      <w:lang w:val="en-US" w:eastAsia="zh-CN" w:bidi="ar-SA"/>
    </w:rPr>
  </w:style>
  <w:style w:type="character" w:customStyle="1" w:styleId="88">
    <w:name w:val="标题 字符"/>
    <w:qFormat/>
    <w:uiPriority w:val="10"/>
    <w:rPr>
      <w:rFonts w:ascii="Calibri Light" w:hAnsi="Calibri Light" w:eastAsia="宋体" w:cs="Times New Roman"/>
      <w:b/>
      <w:bCs/>
      <w:kern w:val="2"/>
      <w:sz w:val="32"/>
      <w:szCs w:val="32"/>
      <w:lang w:val="en-US" w:eastAsia="zh-CN" w:bidi="ar-SA"/>
    </w:rPr>
  </w:style>
  <w:style w:type="paragraph" w:customStyle="1" w:styleId="89">
    <w:name w:val="样式2"/>
    <w:basedOn w:val="36"/>
    <w:qFormat/>
    <w:uiPriority w:val="0"/>
    <w:pPr>
      <w:ind w:firstLine="2720"/>
    </w:pPr>
    <w:rPr>
      <w:bCs/>
    </w:rPr>
  </w:style>
  <w:style w:type="paragraph" w:customStyle="1" w:styleId="90">
    <w:name w:val="0"/>
    <w:basedOn w:val="1"/>
    <w:qFormat/>
    <w:uiPriority w:val="0"/>
    <w:pPr>
      <w:widowControl/>
    </w:pPr>
    <w:rPr>
      <w:rFonts w:ascii="Times New Roman" w:hAnsi="Times New Roman"/>
      <w:kern w:val="0"/>
      <w:szCs w:val="20"/>
    </w:rPr>
  </w:style>
  <w:style w:type="paragraph" w:customStyle="1" w:styleId="91">
    <w:name w:val="Char Char Char Char Char Char Char"/>
    <w:basedOn w:val="1"/>
    <w:qFormat/>
    <w:uiPriority w:val="0"/>
    <w:pPr>
      <w:widowControl/>
      <w:spacing w:after="160" w:line="240" w:lineRule="exact"/>
      <w:jc w:val="left"/>
    </w:pPr>
    <w:rPr>
      <w:rFonts w:ascii="Times New Roman" w:hAnsi="Times New Roman"/>
      <w:szCs w:val="20"/>
    </w:rPr>
  </w:style>
  <w:style w:type="paragraph" w:customStyle="1" w:styleId="92">
    <w:name w:val="Blockquote"/>
    <w:basedOn w:val="1"/>
    <w:qFormat/>
    <w:uiPriority w:val="0"/>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93">
    <w:name w:val="表1"/>
    <w:basedOn w:val="1"/>
    <w:qFormat/>
    <w:uiPriority w:val="0"/>
    <w:pPr>
      <w:tabs>
        <w:tab w:val="left" w:pos="720"/>
        <w:tab w:val="left" w:pos="851"/>
      </w:tabs>
      <w:overflowPunct w:val="0"/>
      <w:autoSpaceDE w:val="0"/>
      <w:autoSpaceDN w:val="0"/>
      <w:adjustRightInd w:val="0"/>
      <w:spacing w:before="200" w:line="320" w:lineRule="atLeast"/>
      <w:ind w:firstLine="624"/>
      <w:textAlignment w:val="baseline"/>
    </w:pPr>
    <w:rPr>
      <w:rFonts w:ascii="Times New Roman" w:hAnsi="Times New Roman"/>
      <w:kern w:val="0"/>
      <w:sz w:val="24"/>
      <w:szCs w:val="20"/>
    </w:rPr>
  </w:style>
  <w:style w:type="paragraph" w:customStyle="1" w:styleId="94">
    <w:name w:val="Char"/>
    <w:basedOn w:val="1"/>
    <w:qFormat/>
    <w:uiPriority w:val="0"/>
    <w:pPr>
      <w:spacing w:line="360" w:lineRule="auto"/>
    </w:pPr>
    <w:rPr>
      <w:rFonts w:ascii="黑体" w:hAnsi="黑体"/>
      <w:sz w:val="24"/>
      <w:szCs w:val="24"/>
      <w:lang w:val="zh-CN"/>
    </w:rPr>
  </w:style>
  <w:style w:type="paragraph" w:customStyle="1" w:styleId="95">
    <w:name w:val="1 Char Char Char"/>
    <w:basedOn w:val="1"/>
    <w:next w:val="4"/>
    <w:qFormat/>
    <w:uiPriority w:val="0"/>
    <w:pPr>
      <w:spacing w:line="500" w:lineRule="exact"/>
      <w:ind w:firstLine="200"/>
      <w:jc w:val="center"/>
    </w:pPr>
    <w:rPr>
      <w:rFonts w:ascii="仿宋_GB2312" w:hAnsi="Arial" w:eastAsia="仿宋_GB2312" w:cs="Arial"/>
      <w:bCs/>
      <w:sz w:val="32"/>
      <w:szCs w:val="32"/>
    </w:rPr>
  </w:style>
  <w:style w:type="paragraph" w:customStyle="1" w:styleId="96">
    <w:name w:val="z-窗体顶端1"/>
    <w:basedOn w:val="1"/>
    <w:next w:val="1"/>
    <w:link w:val="97"/>
    <w:qFormat/>
    <w:uiPriority w:val="0"/>
    <w:pPr>
      <w:pBdr>
        <w:bottom w:val="single" w:color="auto" w:sz="6" w:space="1"/>
      </w:pBdr>
      <w:jc w:val="center"/>
    </w:pPr>
    <w:rPr>
      <w:rFonts w:ascii="Arial" w:hAnsi="Arial"/>
      <w:vanish/>
      <w:kern w:val="0"/>
      <w:sz w:val="16"/>
      <w:szCs w:val="16"/>
      <w:lang w:val="zh-CN"/>
    </w:rPr>
  </w:style>
  <w:style w:type="character" w:customStyle="1" w:styleId="97">
    <w:name w:val="z-窗体顶端 Char"/>
    <w:basedOn w:val="46"/>
    <w:link w:val="96"/>
    <w:qFormat/>
    <w:uiPriority w:val="0"/>
    <w:rPr>
      <w:rFonts w:ascii="Arial" w:hAnsi="Arial" w:eastAsiaTheme="minorEastAsia" w:cstheme="minorBidi"/>
      <w:vanish/>
      <w:kern w:val="0"/>
      <w:sz w:val="16"/>
      <w:szCs w:val="16"/>
      <w:lang w:val="zh-CN" w:eastAsia="zh-CN" w:bidi="ar-SA"/>
    </w:rPr>
  </w:style>
  <w:style w:type="character" w:customStyle="1" w:styleId="98">
    <w:name w:val="z-窗体顶端 字符"/>
    <w:semiHidden/>
    <w:qFormat/>
    <w:uiPriority w:val="99"/>
    <w:rPr>
      <w:rFonts w:ascii="Arial" w:hAnsi="Arial" w:cs="Arial" w:eastAsiaTheme="minorEastAsia"/>
      <w:vanish/>
      <w:kern w:val="2"/>
      <w:sz w:val="16"/>
      <w:szCs w:val="16"/>
      <w:lang w:val="en-US" w:eastAsia="zh-CN" w:bidi="ar-SA"/>
    </w:rPr>
  </w:style>
  <w:style w:type="paragraph" w:customStyle="1" w:styleId="99">
    <w:name w:val="_Style 10"/>
    <w:basedOn w:val="1"/>
    <w:next w:val="1"/>
    <w:qFormat/>
    <w:uiPriority w:val="0"/>
    <w:rPr>
      <w:rFonts w:ascii="Times New Roman" w:hAnsi="Times New Roman"/>
      <w:szCs w:val="24"/>
    </w:rPr>
  </w:style>
  <w:style w:type="paragraph" w:customStyle="1" w:styleId="100">
    <w:name w:val="Char Char"/>
    <w:basedOn w:val="1"/>
    <w:qFormat/>
    <w:uiPriority w:val="0"/>
    <w:rPr>
      <w:rFonts w:ascii="Tahoma" w:hAnsi="Tahoma"/>
      <w:sz w:val="24"/>
      <w:szCs w:val="20"/>
    </w:rPr>
  </w:style>
  <w:style w:type="paragraph" w:customStyle="1" w:styleId="101">
    <w:name w:val="默认段落字体 Para Char Char Char Char"/>
    <w:basedOn w:val="1"/>
    <w:qFormat/>
    <w:uiPriority w:val="0"/>
    <w:pPr>
      <w:spacing w:line="360" w:lineRule="auto"/>
      <w:ind w:firstLine="200" w:firstLineChars="200"/>
    </w:pPr>
    <w:rPr>
      <w:rFonts w:ascii="宋体" w:hAnsi="宋体" w:cs="宋体"/>
      <w:sz w:val="24"/>
      <w:szCs w:val="24"/>
    </w:rPr>
  </w:style>
  <w:style w:type="paragraph" w:customStyle="1" w:styleId="102">
    <w:name w:val="Char Char Char Char"/>
    <w:basedOn w:val="1"/>
    <w:qFormat/>
    <w:uiPriority w:val="0"/>
    <w:rPr>
      <w:rFonts w:ascii="仿宋_GB2312" w:hAnsi="Times New Roman" w:eastAsia="仿宋_GB2312"/>
      <w:b/>
      <w:sz w:val="32"/>
      <w:szCs w:val="32"/>
    </w:rPr>
  </w:style>
  <w:style w:type="paragraph" w:customStyle="1" w:styleId="103">
    <w:name w:val="末级"/>
    <w:basedOn w:val="1"/>
    <w:qFormat/>
    <w:uiPriority w:val="0"/>
    <w:pPr>
      <w:tabs>
        <w:tab w:val="left" w:pos="851"/>
      </w:tabs>
      <w:spacing w:line="360" w:lineRule="auto"/>
      <w:ind w:firstLine="510"/>
    </w:pPr>
    <w:rPr>
      <w:rFonts w:ascii="Times New Roman" w:hAnsi="Times New Roman"/>
      <w:sz w:val="24"/>
      <w:szCs w:val="24"/>
    </w:rPr>
  </w:style>
  <w:style w:type="paragraph" w:customStyle="1" w:styleId="104">
    <w:name w:val="样式1"/>
    <w:basedOn w:val="1"/>
    <w:qFormat/>
    <w:uiPriority w:val="0"/>
    <w:pPr>
      <w:spacing w:line="360" w:lineRule="auto"/>
      <w:jc w:val="center"/>
    </w:pPr>
    <w:rPr>
      <w:rFonts w:ascii="宋体" w:hAnsi="宋体"/>
      <w:sz w:val="32"/>
      <w:szCs w:val="30"/>
    </w:rPr>
  </w:style>
  <w:style w:type="paragraph" w:customStyle="1" w:styleId="105">
    <w:name w:val="Char Char Char Char Char Char Char Char Char"/>
    <w:basedOn w:val="1"/>
    <w:qFormat/>
    <w:uiPriority w:val="0"/>
    <w:pPr>
      <w:widowControl/>
      <w:spacing w:after="160" w:line="240" w:lineRule="exact"/>
      <w:jc w:val="left"/>
    </w:pPr>
    <w:rPr>
      <w:rFonts w:ascii="Times New Roman" w:hAnsi="Times New Roman"/>
      <w:szCs w:val="20"/>
    </w:rPr>
  </w:style>
  <w:style w:type="paragraph" w:customStyle="1" w:styleId="106">
    <w:name w:val="19"/>
    <w:basedOn w:val="1"/>
    <w:uiPriority w:val="0"/>
    <w:pPr>
      <w:widowControl/>
      <w:snapToGrid w:val="0"/>
      <w:spacing w:before="100" w:beforeAutospacing="1" w:after="120" w:line="360" w:lineRule="atLeast"/>
      <w:jc w:val="left"/>
    </w:pPr>
    <w:rPr>
      <w:rFonts w:ascii="宋体" w:hAnsi="宋体"/>
      <w:kern w:val="0"/>
      <w:sz w:val="28"/>
      <w:szCs w:val="20"/>
    </w:rPr>
  </w:style>
  <w:style w:type="paragraph" w:customStyle="1" w:styleId="107">
    <w:name w:val="正文段"/>
    <w:basedOn w:val="1"/>
    <w:qFormat/>
    <w:uiPriority w:val="0"/>
    <w:pPr>
      <w:spacing w:line="360" w:lineRule="auto"/>
      <w:ind w:firstLine="420"/>
    </w:pPr>
    <w:rPr>
      <w:rFonts w:ascii="宋体" w:hAnsi="Times New Roman"/>
      <w:sz w:val="24"/>
      <w:szCs w:val="24"/>
    </w:rPr>
  </w:style>
  <w:style w:type="paragraph" w:customStyle="1" w:styleId="108">
    <w:name w:val="表格一"/>
    <w:basedOn w:val="1"/>
    <w:uiPriority w:val="0"/>
    <w:pPr>
      <w:spacing w:line="240" w:lineRule="exact"/>
      <w:ind w:left="105" w:leftChars="50"/>
    </w:pPr>
    <w:rPr>
      <w:rFonts w:ascii="Times New Roman" w:hAnsi="Times New Roman"/>
      <w:sz w:val="18"/>
      <w:szCs w:val="21"/>
    </w:rPr>
  </w:style>
  <w:style w:type="paragraph" w:customStyle="1" w:styleId="109">
    <w:name w:val="样式 一号 加粗 居中"/>
    <w:basedOn w:val="1"/>
    <w:qFormat/>
    <w:uiPriority w:val="0"/>
    <w:pPr>
      <w:jc w:val="center"/>
    </w:pPr>
    <w:rPr>
      <w:rFonts w:ascii="Times New Roman" w:hAnsi="Times New Roman" w:cs="宋体"/>
      <w:bCs/>
      <w:sz w:val="52"/>
      <w:szCs w:val="20"/>
    </w:rPr>
  </w:style>
  <w:style w:type="paragraph" w:customStyle="1" w:styleId="110">
    <w:name w:val="Char Char Char Char Char Char Char Char Char Char"/>
    <w:basedOn w:val="1"/>
    <w:uiPriority w:val="0"/>
    <w:pPr>
      <w:widowControl/>
      <w:spacing w:after="160" w:line="240" w:lineRule="exact"/>
      <w:jc w:val="left"/>
    </w:pPr>
    <w:rPr>
      <w:rFonts w:ascii="Times New Roman" w:hAnsi="Times New Roman"/>
      <w:szCs w:val="20"/>
    </w:rPr>
  </w:style>
  <w:style w:type="paragraph" w:customStyle="1" w:styleId="111">
    <w:name w:val="z-窗体底端1"/>
    <w:basedOn w:val="1"/>
    <w:next w:val="1"/>
    <w:link w:val="112"/>
    <w:qFormat/>
    <w:uiPriority w:val="0"/>
    <w:pPr>
      <w:pBdr>
        <w:top w:val="single" w:color="auto" w:sz="6" w:space="1"/>
      </w:pBdr>
      <w:jc w:val="center"/>
    </w:pPr>
    <w:rPr>
      <w:rFonts w:ascii="Arial" w:hAnsi="Arial"/>
      <w:vanish/>
      <w:kern w:val="0"/>
      <w:sz w:val="16"/>
      <w:szCs w:val="16"/>
      <w:lang w:val="zh-CN"/>
    </w:rPr>
  </w:style>
  <w:style w:type="character" w:customStyle="1" w:styleId="112">
    <w:name w:val="z-窗体底端 Char"/>
    <w:basedOn w:val="46"/>
    <w:link w:val="111"/>
    <w:qFormat/>
    <w:uiPriority w:val="0"/>
    <w:rPr>
      <w:rFonts w:ascii="Arial" w:hAnsi="Arial" w:eastAsiaTheme="minorEastAsia" w:cstheme="minorBidi"/>
      <w:vanish/>
      <w:kern w:val="0"/>
      <w:sz w:val="16"/>
      <w:szCs w:val="16"/>
      <w:lang w:val="zh-CN" w:eastAsia="zh-CN" w:bidi="ar-SA"/>
    </w:rPr>
  </w:style>
  <w:style w:type="character" w:customStyle="1" w:styleId="113">
    <w:name w:val="z-窗体底端 字符"/>
    <w:semiHidden/>
    <w:qFormat/>
    <w:uiPriority w:val="99"/>
    <w:rPr>
      <w:rFonts w:ascii="Arial" w:hAnsi="Arial" w:cs="Arial" w:eastAsiaTheme="minorEastAsia"/>
      <w:vanish/>
      <w:kern w:val="2"/>
      <w:sz w:val="16"/>
      <w:szCs w:val="16"/>
      <w:lang w:val="en-US" w:eastAsia="zh-CN" w:bidi="ar-SA"/>
    </w:rPr>
  </w:style>
  <w:style w:type="character" w:customStyle="1" w:styleId="114">
    <w:name w:val="正文文本 字符"/>
    <w:basedOn w:val="46"/>
    <w:semiHidden/>
    <w:qFormat/>
    <w:uiPriority w:val="99"/>
    <w:rPr>
      <w:rFonts w:asciiTheme="minorHAnsi" w:hAnsiTheme="minorHAnsi" w:eastAsiaTheme="minorEastAsia" w:cstheme="minorBidi"/>
      <w:kern w:val="2"/>
      <w:sz w:val="21"/>
      <w:szCs w:val="22"/>
      <w:lang w:val="en-US" w:eastAsia="zh-CN" w:bidi="ar-SA"/>
    </w:rPr>
  </w:style>
  <w:style w:type="character" w:customStyle="1" w:styleId="115">
    <w:name w:val="正文首行缩进 字符"/>
    <w:basedOn w:val="114"/>
    <w:semiHidden/>
    <w:qFormat/>
    <w:uiPriority w:val="99"/>
  </w:style>
  <w:style w:type="character" w:customStyle="1" w:styleId="116">
    <w:name w:val="批注框文本 字符"/>
    <w:semiHidden/>
    <w:uiPriority w:val="99"/>
    <w:rPr>
      <w:rFonts w:asciiTheme="minorHAnsi" w:hAnsiTheme="minorHAnsi" w:eastAsiaTheme="minorEastAsia" w:cstheme="minorBidi"/>
      <w:kern w:val="2"/>
      <w:sz w:val="18"/>
      <w:szCs w:val="18"/>
      <w:lang w:val="en-US" w:eastAsia="zh-CN" w:bidi="ar-SA"/>
    </w:rPr>
  </w:style>
  <w:style w:type="character" w:customStyle="1" w:styleId="117">
    <w:name w:val="脚注文本 字符"/>
    <w:semiHidden/>
    <w:qFormat/>
    <w:uiPriority w:val="99"/>
    <w:rPr>
      <w:rFonts w:asciiTheme="minorHAnsi" w:hAnsiTheme="minorHAnsi" w:eastAsiaTheme="minorEastAsia" w:cstheme="minorBidi"/>
      <w:kern w:val="2"/>
      <w:sz w:val="18"/>
      <w:szCs w:val="18"/>
      <w:lang w:val="en-US" w:eastAsia="zh-CN" w:bidi="ar-SA"/>
    </w:rPr>
  </w:style>
  <w:style w:type="character" w:customStyle="1" w:styleId="118">
    <w:name w:val="纯文本 字符"/>
    <w:semiHidden/>
    <w:qFormat/>
    <w:uiPriority w:val="99"/>
    <w:rPr>
      <w:rFonts w:ascii="宋体" w:hAnsi="Courier New" w:cs="Courier New" w:eastAsiaTheme="minorEastAsia"/>
      <w:kern w:val="2"/>
      <w:sz w:val="21"/>
      <w:szCs w:val="22"/>
      <w:lang w:val="en-US" w:eastAsia="zh-CN" w:bidi="ar-SA"/>
    </w:rPr>
  </w:style>
  <w:style w:type="paragraph" w:customStyle="1" w:styleId="119">
    <w:name w:val="Char1"/>
    <w:basedOn w:val="1"/>
    <w:qFormat/>
    <w:uiPriority w:val="0"/>
    <w:pPr>
      <w:widowControl/>
      <w:spacing w:after="160" w:line="240" w:lineRule="exact"/>
      <w:jc w:val="left"/>
    </w:pPr>
    <w:rPr>
      <w:rFonts w:ascii="Tahoma" w:hAnsi="Tahoma"/>
      <w:kern w:val="0"/>
      <w:sz w:val="24"/>
      <w:szCs w:val="24"/>
      <w:lang w:eastAsia="en-US"/>
    </w:rPr>
  </w:style>
  <w:style w:type="paragraph" w:customStyle="1" w:styleId="120">
    <w:name w:val="样式3"/>
    <w:basedOn w:val="4"/>
    <w:qFormat/>
    <w:uiPriority w:val="0"/>
    <w:pPr>
      <w:keepNext/>
      <w:keepLines/>
      <w:spacing w:before="120" w:after="120" w:line="360" w:lineRule="auto"/>
    </w:pPr>
    <w:rPr>
      <w:rFonts w:eastAsia="宋体"/>
      <w:sz w:val="24"/>
      <w:szCs w:val="24"/>
    </w:rPr>
  </w:style>
  <w:style w:type="paragraph" w:customStyle="1" w:styleId="121">
    <w:name w:val="表"/>
    <w:basedOn w:val="1"/>
    <w:uiPriority w:val="0"/>
    <w:pPr>
      <w:spacing w:line="360" w:lineRule="auto"/>
      <w:jc w:val="center"/>
    </w:pPr>
    <w:rPr>
      <w:rFonts w:ascii="Times New Roman" w:hAnsi="Times New Roman"/>
      <w:color w:val="000000"/>
      <w:szCs w:val="21"/>
    </w:rPr>
  </w:style>
  <w:style w:type="character" w:customStyle="1" w:styleId="122">
    <w:name w:val="正文文本 2 字符"/>
    <w:basedOn w:val="46"/>
    <w:semiHidden/>
    <w:uiPriority w:val="99"/>
    <w:rPr>
      <w:rFonts w:asciiTheme="minorHAnsi" w:hAnsiTheme="minorHAnsi" w:eastAsiaTheme="minorEastAsia" w:cstheme="minorBidi"/>
      <w:kern w:val="2"/>
      <w:sz w:val="21"/>
      <w:szCs w:val="22"/>
      <w:lang w:val="en-US" w:eastAsia="zh-CN" w:bidi="ar-SA"/>
    </w:rPr>
  </w:style>
  <w:style w:type="character" w:customStyle="1" w:styleId="123">
    <w:name w:val="正文文本缩进 2 字符"/>
    <w:basedOn w:val="46"/>
    <w:semiHidden/>
    <w:uiPriority w:val="99"/>
    <w:rPr>
      <w:rFonts w:asciiTheme="minorHAnsi" w:hAnsiTheme="minorHAnsi" w:eastAsiaTheme="minorEastAsia" w:cstheme="minorBidi"/>
      <w:kern w:val="2"/>
      <w:sz w:val="21"/>
      <w:szCs w:val="22"/>
      <w:lang w:val="en-US" w:eastAsia="zh-CN" w:bidi="ar-SA"/>
    </w:rPr>
  </w:style>
  <w:style w:type="character" w:customStyle="1" w:styleId="124">
    <w:name w:val="页脚 字符"/>
    <w:semiHidden/>
    <w:qFormat/>
    <w:uiPriority w:val="99"/>
    <w:rPr>
      <w:rFonts w:asciiTheme="minorHAnsi" w:hAnsiTheme="minorHAnsi" w:eastAsiaTheme="minorEastAsia" w:cstheme="minorBidi"/>
      <w:kern w:val="2"/>
      <w:sz w:val="18"/>
      <w:szCs w:val="18"/>
      <w:lang w:val="en-US" w:eastAsia="zh-CN" w:bidi="ar-SA"/>
    </w:rPr>
  </w:style>
  <w:style w:type="paragraph" w:customStyle="1" w:styleId="125">
    <w:name w:val="List Paragraph"/>
    <w:basedOn w:val="1"/>
    <w:qFormat/>
    <w:uiPriority w:val="0"/>
    <w:pPr>
      <w:spacing w:before="100" w:beforeAutospacing="1" w:after="100" w:afterAutospacing="1" w:line="300" w:lineRule="auto"/>
      <w:ind w:firstLine="420" w:firstLineChars="200"/>
    </w:pPr>
  </w:style>
  <w:style w:type="paragraph" w:customStyle="1" w:styleId="126">
    <w:name w:val="内文正文"/>
    <w:qFormat/>
    <w:uiPriority w:val="0"/>
    <w:pPr>
      <w:autoSpaceDE w:val="0"/>
      <w:autoSpaceDN w:val="0"/>
      <w:spacing w:line="400" w:lineRule="exact"/>
      <w:ind w:firstLine="200" w:firstLineChars="200"/>
      <w:jc w:val="both"/>
      <w:textAlignment w:val="bottom"/>
    </w:pPr>
    <w:rPr>
      <w:rFonts w:ascii="宋体" w:hAnsi="???|CS?o｡ﾀ?" w:eastAsia="宋体" w:cs="Times New Roman"/>
      <w:kern w:val="0"/>
      <w:sz w:val="21"/>
      <w:szCs w:val="20"/>
      <w:lang w:val="en-US" w:eastAsia="zh-CN" w:bidi="ar-SA"/>
    </w:rPr>
  </w:style>
  <w:style w:type="paragraph" w:customStyle="1" w:styleId="127">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character" w:customStyle="1" w:styleId="128">
    <w:name w:val="样式 样式1 + 首行缩进:  2 字符 Char"/>
    <w:link w:val="129"/>
    <w:qFormat/>
    <w:uiPriority w:val="0"/>
    <w:rPr>
      <w:rFonts w:ascii="Arial" w:hAnsi="Arial" w:eastAsiaTheme="minorEastAsia" w:cstheme="minorBidi"/>
      <w:kern w:val="2"/>
      <w:sz w:val="24"/>
      <w:szCs w:val="22"/>
      <w:lang w:val="en-US" w:eastAsia="zh-CN" w:bidi="ar-SA"/>
    </w:rPr>
  </w:style>
  <w:style w:type="paragraph" w:customStyle="1" w:styleId="129">
    <w:name w:val="样式 样式1 + 首行缩进:  2 字符"/>
    <w:basedOn w:val="104"/>
    <w:link w:val="128"/>
    <w:qFormat/>
    <w:uiPriority w:val="0"/>
    <w:pPr>
      <w:spacing w:line="360" w:lineRule="exact"/>
      <w:ind w:firstLine="420" w:firstLineChars="200"/>
      <w:jc w:val="both"/>
    </w:pPr>
    <w:rPr>
      <w:rFonts w:ascii="Arial" w:hAnsi="Arial" w:eastAsiaTheme="minorEastAsia" w:cstheme="minorBidi"/>
      <w:sz w:val="24"/>
      <w:szCs w:val="22"/>
    </w:rPr>
  </w:style>
  <w:style w:type="paragraph" w:customStyle="1" w:styleId="130">
    <w:name w:val="样式 标题 1 + (符号) Arial 三号"/>
    <w:basedOn w:val="2"/>
    <w:qFormat/>
    <w:uiPriority w:val="0"/>
    <w:pPr>
      <w:snapToGrid w:val="0"/>
      <w:spacing w:before="0" w:after="0" w:line="360" w:lineRule="auto"/>
    </w:pPr>
    <w:rPr>
      <w:sz w:val="32"/>
    </w:rPr>
  </w:style>
  <w:style w:type="paragraph" w:customStyle="1" w:styleId="131">
    <w:name w:val="列出段落1"/>
    <w:basedOn w:val="1"/>
    <w:qFormat/>
    <w:uiPriority w:val="0"/>
    <w:pPr>
      <w:ind w:firstLine="420" w:firstLineChars="200"/>
    </w:pPr>
  </w:style>
  <w:style w:type="character" w:customStyle="1" w:styleId="132">
    <w:name w:val="Char Char14"/>
    <w:qFormat/>
    <w:uiPriority w:val="0"/>
    <w:rPr>
      <w:rFonts w:ascii="宋体" w:hAnsi="Courier New" w:eastAsia="宋体" w:cs="Courier New"/>
      <w:kern w:val="2"/>
      <w:sz w:val="21"/>
      <w:szCs w:val="21"/>
      <w:lang w:val="en-US" w:eastAsia="zh-CN" w:bidi="ar-SA"/>
    </w:rPr>
  </w:style>
  <w:style w:type="paragraph" w:customStyle="1" w:styleId="133">
    <w:name w:val="_Style 5"/>
    <w:basedOn w:val="1"/>
    <w:next w:val="1"/>
    <w:qFormat/>
    <w:uiPriority w:val="0"/>
    <w:rPr>
      <w:rFonts w:ascii="Times New Roman" w:hAnsi="Times New Roman"/>
      <w:szCs w:val="20"/>
    </w:rPr>
  </w:style>
  <w:style w:type="paragraph" w:customStyle="1" w:styleId="134">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35">
    <w:name w:val="!机场正文"/>
    <w:basedOn w:val="1"/>
    <w:qFormat/>
    <w:uiPriority w:val="0"/>
    <w:pPr>
      <w:spacing w:line="560" w:lineRule="exact"/>
      <w:ind w:firstLine="200" w:firstLineChars="200"/>
    </w:pPr>
    <w:rPr>
      <w:rFonts w:ascii="仿宋_GB2312" w:hAnsi="仿宋_GB2312" w:eastAsia="仿宋_GB2312"/>
      <w:sz w:val="32"/>
    </w:rPr>
  </w:style>
  <w:style w:type="character" w:customStyle="1" w:styleId="136">
    <w:name w:val="正文缩进 字符"/>
    <w:link w:val="13"/>
    <w:qFormat/>
    <w:uiPriority w:val="0"/>
    <w:rPr>
      <w:rFonts w:ascii="宋体" w:hAnsi="Times New Roman" w:eastAsiaTheme="minorEastAsia" w:cstheme="minorBidi"/>
      <w:kern w:val="0"/>
      <w:sz w:val="34"/>
      <w:szCs w:val="20"/>
      <w:lang w:val="zh-CN" w:eastAsia="zh-CN" w:bidi="ar-SA"/>
    </w:rPr>
  </w:style>
  <w:style w:type="character" w:customStyle="1" w:styleId="137">
    <w:name w:val="批注主题 Char1"/>
    <w:basedOn w:val="62"/>
    <w:semiHidden/>
    <w:qFormat/>
    <w:uiPriority w:val="99"/>
    <w:rPr>
      <w:rFonts w:ascii="Calibri" w:hAnsi="Calibri" w:eastAsia="宋体" w:cs="Times New Roman"/>
      <w:b/>
      <w:bCs/>
    </w:rPr>
  </w:style>
  <w:style w:type="paragraph" w:customStyle="1" w:styleId="138">
    <w:name w:val="正文文字"/>
    <w:basedOn w:val="1"/>
    <w:qFormat/>
    <w:uiPriority w:val="0"/>
    <w:pPr>
      <w:widowControl/>
      <w:spacing w:line="952" w:lineRule="atLeast"/>
      <w:ind w:firstLine="419"/>
      <w:textAlignment w:val="baseline"/>
    </w:pPr>
    <w:rPr>
      <w:rFonts w:ascii="Times New Roman" w:hAnsi="Times New Roman"/>
      <w:b/>
      <w:color w:val="000000"/>
      <w:kern w:val="0"/>
      <w:sz w:val="44"/>
      <w:szCs w:val="20"/>
      <w:u w:color="000000"/>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35</Pages>
  <Words>3151</Words>
  <Characters>17961</Characters>
  <Lines>149</Lines>
  <Paragraphs>42</Paragraphs>
  <ScaleCrop>false</ScaleCrop>
  <LinksUpToDate>false</LinksUpToDate>
  <CharactersWithSpaces>21070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2019-04-23T01:09:00Z</dcterms:created>
  <dc:creator>陈丹娜</dc:creator>
  <cp:lastModifiedBy>贾思勰</cp:lastModifiedBy>
  <dcterms:modified xsi:type="dcterms:W3CDTF">2019-06-04T03:11:23Z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